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75D7568" w14:textId="77777777" w:rsidR="0036059E" w:rsidRDefault="0036059E">
      <w:pPr>
        <w:jc w:val="center"/>
        <w:rPr>
          <w:sz w:val="36"/>
          <w:szCs w:val="36"/>
        </w:rPr>
      </w:pPr>
    </w:p>
    <w:p w14:paraId="376DFB56" w14:textId="77777777" w:rsidR="0036059E" w:rsidRDefault="0036059E">
      <w:pPr>
        <w:rPr>
          <w:sz w:val="36"/>
          <w:szCs w:val="36"/>
        </w:rPr>
      </w:pPr>
    </w:p>
    <w:p w14:paraId="114FE2F1" w14:textId="77777777" w:rsidR="0036059E" w:rsidRDefault="0036059E">
      <w:pPr>
        <w:jc w:val="center"/>
        <w:rPr>
          <w:sz w:val="36"/>
          <w:szCs w:val="36"/>
        </w:rPr>
      </w:pPr>
    </w:p>
    <w:p w14:paraId="40C20314" w14:textId="77777777" w:rsidR="0036059E" w:rsidRDefault="00C52A2A">
      <w:pPr>
        <w:jc w:val="center"/>
        <w:rPr>
          <w:sz w:val="36"/>
          <w:szCs w:val="36"/>
        </w:rPr>
      </w:pPr>
      <w:r>
        <w:rPr>
          <w:sz w:val="36"/>
          <w:szCs w:val="36"/>
        </w:rPr>
        <w:t>Supplementary Materials for</w:t>
      </w:r>
    </w:p>
    <w:p w14:paraId="6DFCF3B3" w14:textId="77777777" w:rsidR="0036059E" w:rsidRDefault="0036059E"/>
    <w:p w14:paraId="1C1E0746" w14:textId="77777777" w:rsidR="0036059E" w:rsidRDefault="00C52A2A">
      <w:pPr>
        <w:keepNext/>
        <w:ind w:left="720"/>
        <w:rPr>
          <w:b/>
          <w:sz w:val="28"/>
          <w:szCs w:val="28"/>
        </w:rPr>
      </w:pPr>
      <w:bookmarkStart w:id="0" w:name="bookmark=kix.oxxpn81syabx" w:colFirst="0" w:colLast="0"/>
      <w:bookmarkStart w:id="1" w:name="bookmark=kix.5uud6o8yfkar" w:colFirst="0" w:colLast="0"/>
      <w:bookmarkEnd w:id="0"/>
      <w:bookmarkEnd w:id="1"/>
      <w:r>
        <w:rPr>
          <w:b/>
          <w:sz w:val="32"/>
          <w:szCs w:val="32"/>
        </w:rPr>
        <w:t>STAT1 drives the interferon-like response and aging hallmarks in progeria</w:t>
      </w:r>
    </w:p>
    <w:p w14:paraId="4709DBFA" w14:textId="77777777" w:rsidR="0036059E" w:rsidRDefault="0036059E">
      <w:pPr>
        <w:jc w:val="center"/>
        <w:rPr>
          <w:sz w:val="28"/>
          <w:szCs w:val="28"/>
        </w:rPr>
      </w:pPr>
    </w:p>
    <w:p w14:paraId="6048CD9A" w14:textId="77777777" w:rsidR="0036059E" w:rsidRDefault="0036059E">
      <w:pPr>
        <w:jc w:val="center"/>
      </w:pPr>
    </w:p>
    <w:p w14:paraId="6404673B" w14:textId="77777777" w:rsidR="0036059E" w:rsidRDefault="00C52A2A">
      <w:pPr>
        <w:jc w:val="center"/>
        <w:rPr>
          <w:i/>
        </w:rPr>
      </w:pPr>
      <w:r>
        <w:t xml:space="preserve">Rafael Cancado de Faria </w:t>
      </w:r>
      <w:r>
        <w:rPr>
          <w:i/>
        </w:rPr>
        <w:t>et al.</w:t>
      </w:r>
    </w:p>
    <w:p w14:paraId="17F93DEB" w14:textId="77777777" w:rsidR="0036059E" w:rsidRDefault="0036059E">
      <w:pPr>
        <w:jc w:val="center"/>
      </w:pPr>
    </w:p>
    <w:p w14:paraId="4FC92109" w14:textId="77777777" w:rsidR="0036059E" w:rsidRDefault="00C52A2A">
      <w:pPr>
        <w:jc w:val="center"/>
        <w:rPr>
          <w:sz w:val="20"/>
          <w:szCs w:val="20"/>
        </w:rPr>
      </w:pPr>
      <w:r>
        <w:rPr>
          <w:sz w:val="20"/>
          <w:szCs w:val="20"/>
        </w:rPr>
        <w:t xml:space="preserve">*Corresponding author. Email: </w:t>
      </w:r>
      <w:hyperlink r:id="rId8">
        <w:r>
          <w:rPr>
            <w:color w:val="0000FF"/>
            <w:sz w:val="20"/>
            <w:szCs w:val="20"/>
            <w:u w:val="single"/>
          </w:rPr>
          <w:t>susana.gonzalohervas@health.slu.edu;</w:t>
        </w:r>
      </w:hyperlink>
      <w:r>
        <w:rPr>
          <w:sz w:val="20"/>
          <w:szCs w:val="20"/>
        </w:rPr>
        <w:t xml:space="preserve"> sgonzalo@slu.edu</w:t>
      </w:r>
    </w:p>
    <w:p w14:paraId="720526BD" w14:textId="77777777" w:rsidR="0036059E" w:rsidRDefault="0036059E">
      <w:pPr>
        <w:pBdr>
          <w:top w:val="nil"/>
          <w:left w:val="nil"/>
          <w:bottom w:val="nil"/>
          <w:right w:val="nil"/>
          <w:between w:val="nil"/>
        </w:pBdr>
        <w:jc w:val="center"/>
        <w:rPr>
          <w:color w:val="000000"/>
          <w:sz w:val="20"/>
          <w:szCs w:val="20"/>
        </w:rPr>
      </w:pPr>
    </w:p>
    <w:p w14:paraId="4AAC2402" w14:textId="77777777" w:rsidR="0036059E" w:rsidRDefault="0036059E">
      <w:pPr>
        <w:jc w:val="center"/>
      </w:pPr>
    </w:p>
    <w:p w14:paraId="48EE4A9A" w14:textId="77777777" w:rsidR="0036059E" w:rsidRDefault="0036059E">
      <w:pPr>
        <w:jc w:val="center"/>
      </w:pPr>
    </w:p>
    <w:p w14:paraId="78B0C2AB" w14:textId="77777777" w:rsidR="0036059E" w:rsidRDefault="0036059E"/>
    <w:p w14:paraId="30291A53" w14:textId="77777777" w:rsidR="0036059E" w:rsidRDefault="0036059E">
      <w:pPr>
        <w:rPr>
          <w:b/>
        </w:rPr>
      </w:pPr>
    </w:p>
    <w:p w14:paraId="33E3B3E6" w14:textId="77777777" w:rsidR="0036059E" w:rsidRDefault="00C52A2A">
      <w:pPr>
        <w:rPr>
          <w:b/>
        </w:rPr>
      </w:pPr>
      <w:r>
        <w:rPr>
          <w:b/>
        </w:rPr>
        <w:t>This PDF file includes:</w:t>
      </w:r>
    </w:p>
    <w:p w14:paraId="41795EEA" w14:textId="77777777" w:rsidR="0036059E" w:rsidRDefault="0036059E"/>
    <w:p w14:paraId="683B011C" w14:textId="77777777" w:rsidR="0036059E" w:rsidRDefault="00C52A2A">
      <w:pPr>
        <w:ind w:left="720"/>
      </w:pPr>
      <w:r>
        <w:t>Figs. S1 to S5</w:t>
      </w:r>
    </w:p>
    <w:p w14:paraId="3AA681AA" w14:textId="77777777" w:rsidR="0036059E" w:rsidRDefault="00C52A2A">
      <w:pPr>
        <w:ind w:left="720"/>
      </w:pPr>
      <w:r>
        <w:t>Tables S1 to S4</w:t>
      </w:r>
    </w:p>
    <w:p w14:paraId="20C91F37" w14:textId="77777777" w:rsidR="0036059E" w:rsidRDefault="0036059E"/>
    <w:p w14:paraId="5EBF4D42" w14:textId="77777777" w:rsidR="0036059E" w:rsidRDefault="00C52A2A">
      <w:r>
        <w:t xml:space="preserve"> </w:t>
      </w:r>
    </w:p>
    <w:p w14:paraId="6C03B35E" w14:textId="77777777" w:rsidR="0036059E" w:rsidRDefault="0036059E">
      <w:pPr>
        <w:ind w:left="720"/>
      </w:pPr>
    </w:p>
    <w:p w14:paraId="6505078B" w14:textId="77777777" w:rsidR="0036059E" w:rsidRDefault="00C52A2A">
      <w:pPr>
        <w:ind w:left="720"/>
      </w:pPr>
      <w:r>
        <w:br/>
      </w:r>
    </w:p>
    <w:p w14:paraId="0CFF5D01" w14:textId="77777777" w:rsidR="0036059E" w:rsidRDefault="00C52A2A">
      <w:pPr>
        <w:keepNext/>
        <w:pBdr>
          <w:top w:val="nil"/>
          <w:left w:val="nil"/>
          <w:bottom w:val="nil"/>
          <w:right w:val="nil"/>
          <w:between w:val="nil"/>
        </w:pBdr>
        <w:spacing w:before="240" w:after="60"/>
        <w:rPr>
          <w:b/>
          <w:color w:val="000000"/>
        </w:rPr>
      </w:pPr>
      <w:r>
        <w:br w:type="page"/>
      </w:r>
      <w:bookmarkStart w:id="2" w:name="bookmark=id.1fob9te" w:colFirst="0" w:colLast="0"/>
      <w:bookmarkStart w:id="3" w:name="bookmark=id.3znysh7" w:colFirst="0" w:colLast="0"/>
      <w:bookmarkEnd w:id="2"/>
      <w:bookmarkEnd w:id="3"/>
    </w:p>
    <w:p w14:paraId="3B9FAC5B" w14:textId="77777777" w:rsidR="0036059E" w:rsidRDefault="0036059E">
      <w:pPr>
        <w:keepNext/>
        <w:pBdr>
          <w:top w:val="nil"/>
          <w:left w:val="nil"/>
          <w:bottom w:val="nil"/>
          <w:right w:val="nil"/>
          <w:between w:val="nil"/>
        </w:pBdr>
        <w:spacing w:before="240" w:after="60"/>
        <w:jc w:val="both"/>
        <w:rPr>
          <w:b/>
          <w:color w:val="000000"/>
        </w:rPr>
      </w:pPr>
    </w:p>
    <w:p w14:paraId="77A3F35A" w14:textId="77777777" w:rsidR="0036059E" w:rsidRDefault="00C52A2A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noProof/>
        </w:rPr>
        <w:drawing>
          <wp:inline distT="114300" distB="114300" distL="114300" distR="114300" wp14:anchorId="1342710D" wp14:editId="76F7C6AD">
            <wp:extent cx="5943600" cy="3987800"/>
            <wp:effectExtent l="0" t="0" r="0" b="0"/>
            <wp:docPr id="11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87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7BBAACB" w14:textId="77777777" w:rsidR="0036059E" w:rsidRDefault="0036059E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</w:p>
    <w:p w14:paraId="25942B8D" w14:textId="77777777" w:rsidR="0036059E" w:rsidRDefault="00C52A2A">
      <w:pPr>
        <w:jc w:val="both"/>
      </w:pPr>
      <w:r>
        <w:rPr>
          <w:b/>
        </w:rPr>
        <w:t xml:space="preserve">Fig. S1. Relative to Figure 1. Progerin induces metabolic changes and sterile inflammation in fibroblasts. </w:t>
      </w:r>
      <w:r>
        <w:t>(a) Graph show a re-analysis of published RNA seq data on five lines of normal fibroblasts (NF) and three lines of HGPS patient-derived fibroblasts (accession # GSE97986). Expression of glycolytic enzymes are significantly upregulated in HGPS cells (p &gt; 0.05). (b) Densitometry of immunoblots from sterile inflammation markers (Figure 1g) showing average ± SEM from three to twelve biological repeats. (c) Respiration curve obtained in Seahorse experiments of HDFs treated with doxy for 1 or 2 days and 24 h of doxy release, resulting in 2 or 3 days of progerin expression, respectively. (d) Immunoblot of a control experiment to detect p-STAT1 and ISG15 in HDFs primary cells (neonatal and adults) without GFP-Progerin construct. Cells were treated for 6 days with different doxy concentrations. No activation of STAT1-ISG15 axis occurs upon doxy treatment (*p &lt; 0.05, **p &lt; 0.01, ***p &lt; 0.001, ****p &lt; 0.0001).</w:t>
      </w:r>
      <w:r>
        <w:br w:type="page"/>
      </w:r>
    </w:p>
    <w:p w14:paraId="40579917" w14:textId="77777777" w:rsidR="0036059E" w:rsidRDefault="00C52A2A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noProof/>
        </w:rPr>
        <w:lastRenderedPageBreak/>
        <w:drawing>
          <wp:inline distT="114300" distB="114300" distL="114300" distR="114300" wp14:anchorId="1A8DDB94" wp14:editId="4F2D72A3">
            <wp:extent cx="5943600" cy="8585200"/>
            <wp:effectExtent l="0" t="0" r="0" b="0"/>
            <wp:docPr id="10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5852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B98CB2A" w14:textId="05AB9D79" w:rsidR="0036059E" w:rsidRDefault="00C52A2A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b/>
          <w:color w:val="000000"/>
        </w:rPr>
        <w:lastRenderedPageBreak/>
        <w:t>Fig. S2.</w:t>
      </w:r>
      <w:r>
        <w:rPr>
          <w:color w:val="000000"/>
        </w:rPr>
        <w:t xml:space="preserve"> </w:t>
      </w:r>
      <w:r>
        <w:rPr>
          <w:b/>
          <w:color w:val="000000"/>
        </w:rPr>
        <w:t>Relative to Figure 2. Calcitriol mitigates aging phenotypes in progerin-expressing fibroblasts and extends HGPS mouse longevity</w:t>
      </w:r>
      <w:r>
        <w:rPr>
          <w:color w:val="000000"/>
        </w:rPr>
        <w:t>. (a) Densitometry of immunoblots from sterile inflammation markers (Figure 2</w:t>
      </w:r>
      <w:r w:rsidR="003F5F79">
        <w:rPr>
          <w:color w:val="000000"/>
        </w:rPr>
        <w:t>A</w:t>
      </w:r>
      <w:r>
        <w:rPr>
          <w:color w:val="000000"/>
        </w:rPr>
        <w:t xml:space="preserve">) with calcitriol </w:t>
      </w:r>
      <w:r w:rsidR="003F5F79">
        <w:rPr>
          <w:color w:val="000000"/>
        </w:rPr>
        <w:t xml:space="preserve">or vehicle </w:t>
      </w:r>
      <w:r>
        <w:rPr>
          <w:color w:val="000000"/>
        </w:rPr>
        <w:t xml:space="preserve">treatment (n=3-12). Graphs show average ± SEM. (b) </w:t>
      </w:r>
      <w:r>
        <w:t>Autophagy measurement using immunoblot of LC3</w:t>
      </w:r>
      <w:r w:rsidR="00E345FC">
        <w:t>-</w:t>
      </w:r>
      <w:r>
        <w:t>II marker. Cells were treated with 10 nM bafilomycin A1 for 24 h to block autophagy flux</w:t>
      </w:r>
      <w:r w:rsidR="00E345FC">
        <w:t>.</w:t>
      </w:r>
      <w:r>
        <w:t xml:space="preserve"> β-tubulin </w:t>
      </w:r>
      <w:r w:rsidR="00E345FC">
        <w:t>w</w:t>
      </w:r>
      <w:r>
        <w:t xml:space="preserve">as used as loading control. (c) Immunofluorescence pictures of Ki67 staining (green) in BJ </w:t>
      </w:r>
      <w:r w:rsidR="00E345FC">
        <w:t>EV (e</w:t>
      </w:r>
      <w:r>
        <w:t>mpty vector</w:t>
      </w:r>
      <w:r w:rsidR="00E345FC">
        <w:t>)</w:t>
      </w:r>
      <w:r>
        <w:t xml:space="preserve"> and BJ P</w:t>
      </w:r>
      <w:r w:rsidR="00E345FC">
        <w:t xml:space="preserve">G (constitutive expression of </w:t>
      </w:r>
      <w:proofErr w:type="spellStart"/>
      <w:r w:rsidR="00E345FC">
        <w:t>progerin</w:t>
      </w:r>
      <w:proofErr w:type="spellEnd"/>
      <w:r w:rsidR="00E345FC">
        <w:t>)</w:t>
      </w:r>
      <w:r>
        <w:t xml:space="preserve"> treated with calcitriol or vehicle. DAPI (blue) was used for DNA staining. </w:t>
      </w:r>
      <w:r>
        <w:rPr>
          <w:color w:val="000000"/>
        </w:rPr>
        <w:t>(</w:t>
      </w:r>
      <w:r>
        <w:t>d</w:t>
      </w:r>
      <w:r>
        <w:rPr>
          <w:color w:val="000000"/>
        </w:rPr>
        <w:t xml:space="preserve">) Respiration curve obtained in Seahorse experiments of BJ </w:t>
      </w:r>
      <w:r w:rsidR="00E345FC">
        <w:rPr>
          <w:color w:val="000000"/>
        </w:rPr>
        <w:t>EV or BJ PG</w:t>
      </w:r>
      <w:r>
        <w:rPr>
          <w:color w:val="000000"/>
        </w:rPr>
        <w:t xml:space="preserve">. Samples were treated with calcitriol or vehicle for 2 days </w:t>
      </w:r>
      <w:r>
        <w:t>prior to the</w:t>
      </w:r>
      <w:r>
        <w:rPr>
          <w:color w:val="000000"/>
        </w:rPr>
        <w:t xml:space="preserve"> assay. (</w:t>
      </w:r>
      <w:r>
        <w:t>e</w:t>
      </w:r>
      <w:r>
        <w:rPr>
          <w:color w:val="000000"/>
        </w:rPr>
        <w:t xml:space="preserve">) </w:t>
      </w:r>
      <w:r>
        <w:t>Immunoblot of doxy-induced GPF-</w:t>
      </w:r>
      <w:proofErr w:type="spellStart"/>
      <w:r>
        <w:t>progerin</w:t>
      </w:r>
      <w:proofErr w:type="spellEnd"/>
      <w:r>
        <w:t xml:space="preserve"> expression in HDF</w:t>
      </w:r>
      <w:r w:rsidR="00E345FC">
        <w:t>s</w:t>
      </w:r>
      <w:r>
        <w:t xml:space="preserve"> for 4 and 8 days treated with calcitriol or vehicle (n=3). Proteins detected: GFP-progerin, nutrient sensing proteins (AMPKα and p-AMPKα), mTORC1 target proteins (S6</w:t>
      </w:r>
      <w:r w:rsidR="00E345FC">
        <w:t>RP</w:t>
      </w:r>
      <w:r>
        <w:t xml:space="preserve"> and p-S6</w:t>
      </w:r>
      <w:r w:rsidR="00E345FC">
        <w:t>RP</w:t>
      </w:r>
      <w:r>
        <w:t>) and autophagy markers (LC3</w:t>
      </w:r>
      <w:r w:rsidR="00E345FC">
        <w:t>-</w:t>
      </w:r>
      <w:r>
        <w:t>II and p62). VDR was used to validate calcitriol treatment and β-tubulin as loading control. *p &lt; 0.05, **p &lt; 0.01, ***p &lt; 0.001, ****p &lt; 0.0001.</w:t>
      </w:r>
      <w:r>
        <w:br w:type="page"/>
      </w:r>
    </w:p>
    <w:p w14:paraId="2FB6F2DC" w14:textId="77777777" w:rsidR="0036059E" w:rsidRDefault="00C52A2A">
      <w:pPr>
        <w:pBdr>
          <w:top w:val="nil"/>
          <w:left w:val="nil"/>
          <w:bottom w:val="nil"/>
          <w:right w:val="nil"/>
          <w:between w:val="nil"/>
        </w:pBdr>
        <w:jc w:val="both"/>
        <w:rPr>
          <w:b/>
        </w:rPr>
      </w:pPr>
      <w:r>
        <w:rPr>
          <w:b/>
          <w:noProof/>
        </w:rPr>
        <w:lastRenderedPageBreak/>
        <w:drawing>
          <wp:inline distT="114300" distB="114300" distL="114300" distR="114300" wp14:anchorId="1D93C80F" wp14:editId="496EB00E">
            <wp:extent cx="5943600" cy="8661400"/>
            <wp:effectExtent l="0" t="0" r="0" b="0"/>
            <wp:docPr id="7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661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88FAB48" w14:textId="3F95FAE3" w:rsidR="0036059E" w:rsidRDefault="00C52A2A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b/>
          <w:color w:val="000000"/>
        </w:rPr>
        <w:lastRenderedPageBreak/>
        <w:t>Fig. S3. Relative to Figure 3.</w:t>
      </w:r>
      <w:r>
        <w:rPr>
          <w:color w:val="000000"/>
        </w:rPr>
        <w:t xml:space="preserve"> </w:t>
      </w:r>
      <w:r>
        <w:rPr>
          <w:b/>
          <w:color w:val="000000"/>
        </w:rPr>
        <w:t>JAK-STAT inhibition using baricitinib improves cellular health in progerin-expressing fibroblasts.</w:t>
      </w:r>
      <w:r>
        <w:rPr>
          <w:color w:val="000000"/>
        </w:rPr>
        <w:t xml:space="preserve"> </w:t>
      </w:r>
      <w:r>
        <w:t xml:space="preserve">(a) Densitometry of immunoblots from sterile inflammation markers (Figure </w:t>
      </w:r>
      <w:r w:rsidR="006C3891">
        <w:t>3A</w:t>
      </w:r>
      <w:r>
        <w:t xml:space="preserve">) with </w:t>
      </w:r>
      <w:proofErr w:type="spellStart"/>
      <w:r w:rsidR="003F5F79">
        <w:t>baricitinib</w:t>
      </w:r>
      <w:proofErr w:type="spellEnd"/>
      <w:r w:rsidR="006C3891">
        <w:t xml:space="preserve"> or vehicle</w:t>
      </w:r>
      <w:r>
        <w:t xml:space="preserve"> treatment (n=3-12). Graphs show average ± SEM. (b) Autophagy measurement using immunoblot of </w:t>
      </w:r>
      <w:r w:rsidR="006C3891">
        <w:t>LC3-</w:t>
      </w:r>
      <w:r>
        <w:t>II marker. Cells were treated with 10 nM bafilomycin A1 for 24 h to block autophagy flux</w:t>
      </w:r>
      <w:r w:rsidR="006C3891">
        <w:t>.</w:t>
      </w:r>
      <w:r>
        <w:t xml:space="preserve"> β-tubulin </w:t>
      </w:r>
      <w:r w:rsidR="006C3891">
        <w:t>w</w:t>
      </w:r>
      <w:r>
        <w:t xml:space="preserve">as used as loading control. (c) Immunofluorescence pictures of Ki67 staining (green) in BJ </w:t>
      </w:r>
      <w:r w:rsidR="006C3891">
        <w:t>EV (e</w:t>
      </w:r>
      <w:r>
        <w:t>mpty vector</w:t>
      </w:r>
      <w:r w:rsidR="006C3891">
        <w:t>)</w:t>
      </w:r>
      <w:r>
        <w:t xml:space="preserve"> and BJ P</w:t>
      </w:r>
      <w:r w:rsidR="006C3891">
        <w:t xml:space="preserve">G (constitutive expression of </w:t>
      </w:r>
      <w:proofErr w:type="spellStart"/>
      <w:r w:rsidR="006C3891">
        <w:t>progerin</w:t>
      </w:r>
      <w:proofErr w:type="spellEnd"/>
      <w:r w:rsidR="006C3891">
        <w:t xml:space="preserve">) </w:t>
      </w:r>
      <w:r>
        <w:t xml:space="preserve">treated with </w:t>
      </w:r>
      <w:proofErr w:type="spellStart"/>
      <w:r>
        <w:t>baricitinib</w:t>
      </w:r>
      <w:proofErr w:type="spellEnd"/>
      <w:r>
        <w:t xml:space="preserve"> or vehicle. DAPI (blue) was used for DNA staining. (d) Respiration curve obtained in Seahorse experiments of BJ EV or </w:t>
      </w:r>
      <w:r w:rsidR="006C3891">
        <w:t xml:space="preserve">BJ </w:t>
      </w:r>
      <w:r>
        <w:t xml:space="preserve">PG. Samples were treated with </w:t>
      </w:r>
      <w:proofErr w:type="spellStart"/>
      <w:r>
        <w:t>baricitinib</w:t>
      </w:r>
      <w:proofErr w:type="spellEnd"/>
      <w:r>
        <w:t xml:space="preserve"> or vehicle for 2 days prior to the assay. (e) Immunoblot of doxy-induced GPF-</w:t>
      </w:r>
      <w:proofErr w:type="spellStart"/>
      <w:r>
        <w:t>progerin</w:t>
      </w:r>
      <w:proofErr w:type="spellEnd"/>
      <w:r>
        <w:t xml:space="preserve"> expression in HDF</w:t>
      </w:r>
      <w:r w:rsidR="006C3891">
        <w:t>s</w:t>
      </w:r>
      <w:r>
        <w:t xml:space="preserve"> for 4 and 8 days treated with baricitinib or vehicle (n=3). Proteins detected: GFP-progerin, nutrient sensing proteins (AMPKα and p-AMPKα), mTORC1 target proteins (S6</w:t>
      </w:r>
      <w:r w:rsidR="006C3891">
        <w:t>RP</w:t>
      </w:r>
      <w:r>
        <w:t xml:space="preserve"> and p-S6</w:t>
      </w:r>
      <w:r w:rsidR="006C3891">
        <w:t>RP</w:t>
      </w:r>
      <w:r>
        <w:t>) and autophagy markers (</w:t>
      </w:r>
      <w:r w:rsidR="006C3891">
        <w:t>LC3-</w:t>
      </w:r>
      <w:r>
        <w:t>II and p62). VDR was used to validate calcitriol treatment and β-tubulin as loading control. *p &lt; 0.05, **p &lt; 0.01, ***p &lt; 0.001, ****p &lt; 0.0001.</w:t>
      </w:r>
    </w:p>
    <w:p w14:paraId="5AAA95F6" w14:textId="77777777" w:rsidR="0036059E" w:rsidRDefault="0036059E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</w:p>
    <w:p w14:paraId="5D47F008" w14:textId="77777777" w:rsidR="0036059E" w:rsidRDefault="00C52A2A">
      <w:pPr>
        <w:pBdr>
          <w:top w:val="nil"/>
          <w:left w:val="nil"/>
          <w:bottom w:val="nil"/>
          <w:right w:val="nil"/>
          <w:between w:val="nil"/>
        </w:pBdr>
        <w:jc w:val="both"/>
        <w:rPr>
          <w:b/>
          <w:color w:val="000000"/>
        </w:rPr>
      </w:pPr>
      <w:r>
        <w:rPr>
          <w:noProof/>
          <w:color w:val="000000"/>
        </w:rPr>
        <w:lastRenderedPageBreak/>
        <w:drawing>
          <wp:inline distT="0" distB="0" distL="0" distR="0" wp14:anchorId="3664E34D" wp14:editId="5770CF1F">
            <wp:extent cx="4164965" cy="8229600"/>
            <wp:effectExtent l="0" t="0" r="0" b="0"/>
            <wp:docPr id="9" name="image5.png" descr="Diagram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 descr="Diagram&#10;&#10;Description automatically generated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164965" cy="8229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BD051CD" w14:textId="77777777" w:rsidR="0036059E" w:rsidRDefault="0036059E">
      <w:pPr>
        <w:pBdr>
          <w:top w:val="nil"/>
          <w:left w:val="nil"/>
          <w:bottom w:val="nil"/>
          <w:right w:val="nil"/>
          <w:between w:val="nil"/>
        </w:pBdr>
        <w:jc w:val="both"/>
        <w:rPr>
          <w:b/>
          <w:color w:val="000000"/>
        </w:rPr>
      </w:pPr>
    </w:p>
    <w:p w14:paraId="71DEF8B7" w14:textId="3EF212C5" w:rsidR="0036059E" w:rsidRDefault="00C52A2A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b/>
          <w:color w:val="000000"/>
        </w:rPr>
        <w:t xml:space="preserve">Fig. S4. Relative to Figure 4. Targeting Stat1 provides significant benefits to </w:t>
      </w:r>
      <w:r w:rsidR="001B7C44">
        <w:rPr>
          <w:b/>
          <w:color w:val="000000"/>
        </w:rPr>
        <w:t xml:space="preserve">progeria mice </w:t>
      </w:r>
      <w:r>
        <w:rPr>
          <w:b/>
          <w:color w:val="000000"/>
        </w:rPr>
        <w:t xml:space="preserve">health and lifespan. </w:t>
      </w:r>
      <w:r>
        <w:rPr>
          <w:color w:val="000000"/>
        </w:rPr>
        <w:t xml:space="preserve">(a) Body weight percentage and (b) Kaplan–Meier survival curves of chow-fed male G609G, </w:t>
      </w:r>
      <w:r>
        <w:rPr>
          <w:i/>
          <w:color w:val="000000"/>
        </w:rPr>
        <w:t>Stat1</w:t>
      </w:r>
      <w:r>
        <w:rPr>
          <w:i/>
          <w:color w:val="000000"/>
          <w:vertAlign w:val="superscript"/>
        </w:rPr>
        <w:t xml:space="preserve">+/+ </w:t>
      </w:r>
      <w:r>
        <w:rPr>
          <w:color w:val="000000"/>
        </w:rPr>
        <w:t xml:space="preserve">(n=7), G609G, </w:t>
      </w:r>
      <w:r>
        <w:rPr>
          <w:i/>
          <w:color w:val="000000"/>
        </w:rPr>
        <w:t>Stat1</w:t>
      </w:r>
      <w:r>
        <w:rPr>
          <w:i/>
          <w:color w:val="000000"/>
          <w:vertAlign w:val="superscript"/>
        </w:rPr>
        <w:t xml:space="preserve">+/- </w:t>
      </w:r>
      <w:r>
        <w:rPr>
          <w:color w:val="000000"/>
        </w:rPr>
        <w:t xml:space="preserve">(n=8) and G609G, </w:t>
      </w:r>
      <w:r>
        <w:rPr>
          <w:i/>
          <w:color w:val="000000"/>
        </w:rPr>
        <w:t>Stat1</w:t>
      </w:r>
      <w:r>
        <w:rPr>
          <w:i/>
          <w:color w:val="000000"/>
          <w:vertAlign w:val="superscript"/>
        </w:rPr>
        <w:t xml:space="preserve">-/- </w:t>
      </w:r>
      <w:r>
        <w:rPr>
          <w:color w:val="000000"/>
        </w:rPr>
        <w:t xml:space="preserve">(n=5). Mouse body weight was monitored three times </w:t>
      </w:r>
      <w:r w:rsidR="001B7C44">
        <w:rPr>
          <w:color w:val="000000"/>
        </w:rPr>
        <w:t xml:space="preserve">per </w:t>
      </w:r>
      <w:r>
        <w:rPr>
          <w:color w:val="000000"/>
        </w:rPr>
        <w:t>week</w:t>
      </w:r>
      <w:r w:rsidR="006C3891">
        <w:rPr>
          <w:color w:val="000000"/>
        </w:rPr>
        <w:t xml:space="preserve"> in all experiments</w:t>
      </w:r>
      <w:r>
        <w:rPr>
          <w:color w:val="000000"/>
        </w:rPr>
        <w:t xml:space="preserve">. Median survival of male G609G, </w:t>
      </w:r>
      <w:r>
        <w:rPr>
          <w:i/>
          <w:color w:val="000000"/>
        </w:rPr>
        <w:t>Stat1</w:t>
      </w:r>
      <w:r>
        <w:rPr>
          <w:i/>
          <w:color w:val="000000"/>
          <w:vertAlign w:val="superscript"/>
        </w:rPr>
        <w:t xml:space="preserve">+/+ </w:t>
      </w:r>
      <w:r>
        <w:rPr>
          <w:color w:val="000000"/>
        </w:rPr>
        <w:t>mice is 119</w:t>
      </w:r>
      <w:r w:rsidR="001B7C44">
        <w:rPr>
          <w:color w:val="000000"/>
        </w:rPr>
        <w:t xml:space="preserve"> days</w:t>
      </w:r>
      <w:r>
        <w:rPr>
          <w:color w:val="000000"/>
        </w:rPr>
        <w:t xml:space="preserve">, 141 days for G609G, </w:t>
      </w:r>
      <w:r>
        <w:rPr>
          <w:i/>
          <w:color w:val="000000"/>
        </w:rPr>
        <w:t>Stat1</w:t>
      </w:r>
      <w:r>
        <w:rPr>
          <w:i/>
          <w:color w:val="000000"/>
          <w:vertAlign w:val="superscript"/>
        </w:rPr>
        <w:t xml:space="preserve">+/- </w:t>
      </w:r>
      <w:r>
        <w:rPr>
          <w:color w:val="000000"/>
        </w:rPr>
        <w:t xml:space="preserve">mice (p=0.0674) and 120 days for G609G, </w:t>
      </w:r>
      <w:r>
        <w:rPr>
          <w:i/>
          <w:color w:val="000000"/>
        </w:rPr>
        <w:t>Stat1</w:t>
      </w:r>
      <w:r>
        <w:rPr>
          <w:i/>
          <w:color w:val="000000"/>
          <w:vertAlign w:val="superscript"/>
        </w:rPr>
        <w:t xml:space="preserve">-/- </w:t>
      </w:r>
      <w:r>
        <w:rPr>
          <w:color w:val="000000"/>
        </w:rPr>
        <w:t xml:space="preserve">(p=0.0979). (c) Body weight percentage and (d) Kaplan–Meier survival curves of chow-fed female G609G, </w:t>
      </w:r>
      <w:r>
        <w:rPr>
          <w:i/>
          <w:color w:val="000000"/>
        </w:rPr>
        <w:t>Stat1</w:t>
      </w:r>
      <w:r>
        <w:rPr>
          <w:i/>
          <w:color w:val="000000"/>
          <w:vertAlign w:val="superscript"/>
        </w:rPr>
        <w:t xml:space="preserve">+/+ </w:t>
      </w:r>
      <w:r>
        <w:rPr>
          <w:color w:val="000000"/>
        </w:rPr>
        <w:t xml:space="preserve">(n=11), G609G, </w:t>
      </w:r>
      <w:r>
        <w:rPr>
          <w:i/>
          <w:color w:val="000000"/>
        </w:rPr>
        <w:t>Stat1</w:t>
      </w:r>
      <w:r>
        <w:rPr>
          <w:i/>
          <w:color w:val="000000"/>
          <w:vertAlign w:val="superscript"/>
        </w:rPr>
        <w:t xml:space="preserve">+/- </w:t>
      </w:r>
      <w:r>
        <w:rPr>
          <w:color w:val="000000"/>
        </w:rPr>
        <w:t xml:space="preserve">(n=5) and G609G, </w:t>
      </w:r>
      <w:r>
        <w:rPr>
          <w:i/>
          <w:color w:val="000000"/>
        </w:rPr>
        <w:t>Stat1</w:t>
      </w:r>
      <w:r>
        <w:rPr>
          <w:i/>
          <w:color w:val="000000"/>
          <w:vertAlign w:val="superscript"/>
        </w:rPr>
        <w:t xml:space="preserve">-/- </w:t>
      </w:r>
      <w:r>
        <w:rPr>
          <w:color w:val="000000"/>
        </w:rPr>
        <w:t xml:space="preserve">(n=5). Median survival of female G609G, </w:t>
      </w:r>
      <w:r>
        <w:rPr>
          <w:i/>
          <w:color w:val="000000"/>
        </w:rPr>
        <w:t>Stat1</w:t>
      </w:r>
      <w:r>
        <w:rPr>
          <w:i/>
          <w:color w:val="000000"/>
          <w:vertAlign w:val="superscript"/>
        </w:rPr>
        <w:t xml:space="preserve">+/+ </w:t>
      </w:r>
      <w:r>
        <w:rPr>
          <w:color w:val="000000"/>
        </w:rPr>
        <w:t>mice is 132</w:t>
      </w:r>
      <w:r w:rsidR="00C92CCC">
        <w:rPr>
          <w:color w:val="000000"/>
        </w:rPr>
        <w:t xml:space="preserve"> days</w:t>
      </w:r>
      <w:r>
        <w:rPr>
          <w:color w:val="000000"/>
        </w:rPr>
        <w:t xml:space="preserve">, 158 days for G609G, </w:t>
      </w:r>
      <w:r>
        <w:rPr>
          <w:i/>
          <w:color w:val="000000"/>
        </w:rPr>
        <w:t>Stat1</w:t>
      </w:r>
      <w:r>
        <w:rPr>
          <w:i/>
          <w:color w:val="000000"/>
          <w:vertAlign w:val="superscript"/>
        </w:rPr>
        <w:t xml:space="preserve">+/- </w:t>
      </w:r>
      <w:r>
        <w:rPr>
          <w:color w:val="000000"/>
        </w:rPr>
        <w:t xml:space="preserve">mice (p=0.0406) and 119 days for G609G, </w:t>
      </w:r>
      <w:r>
        <w:rPr>
          <w:i/>
          <w:color w:val="000000"/>
        </w:rPr>
        <w:t>Stat1</w:t>
      </w:r>
      <w:r>
        <w:rPr>
          <w:i/>
          <w:color w:val="000000"/>
          <w:vertAlign w:val="superscript"/>
        </w:rPr>
        <w:t xml:space="preserve">-/- </w:t>
      </w:r>
      <w:r>
        <w:rPr>
          <w:color w:val="000000"/>
        </w:rPr>
        <w:t xml:space="preserve">(0.0879). (e) Body weight percentage and (f) Kaplan–Meier survival curves of HFD-fed male G609G, </w:t>
      </w:r>
      <w:r>
        <w:rPr>
          <w:i/>
          <w:color w:val="000000"/>
        </w:rPr>
        <w:t>Stat1</w:t>
      </w:r>
      <w:r>
        <w:rPr>
          <w:i/>
          <w:color w:val="000000"/>
          <w:vertAlign w:val="superscript"/>
        </w:rPr>
        <w:t xml:space="preserve">+/+ </w:t>
      </w:r>
      <w:r>
        <w:rPr>
          <w:color w:val="000000"/>
        </w:rPr>
        <w:t xml:space="preserve">(n=12), G609G, </w:t>
      </w:r>
      <w:r>
        <w:rPr>
          <w:i/>
          <w:color w:val="000000"/>
        </w:rPr>
        <w:t>Stat1</w:t>
      </w:r>
      <w:r>
        <w:rPr>
          <w:i/>
          <w:color w:val="000000"/>
          <w:vertAlign w:val="superscript"/>
        </w:rPr>
        <w:t xml:space="preserve">+/- </w:t>
      </w:r>
      <w:r>
        <w:rPr>
          <w:color w:val="000000"/>
        </w:rPr>
        <w:t xml:space="preserve">(n=8) and G609G, </w:t>
      </w:r>
      <w:r>
        <w:rPr>
          <w:i/>
          <w:color w:val="000000"/>
        </w:rPr>
        <w:t>Stat1</w:t>
      </w:r>
      <w:r>
        <w:rPr>
          <w:i/>
          <w:color w:val="000000"/>
          <w:vertAlign w:val="superscript"/>
        </w:rPr>
        <w:t xml:space="preserve">-/- </w:t>
      </w:r>
      <w:r>
        <w:rPr>
          <w:color w:val="000000"/>
        </w:rPr>
        <w:t xml:space="preserve">(n=6). Median survival of male G609G, </w:t>
      </w:r>
      <w:r>
        <w:rPr>
          <w:i/>
          <w:color w:val="000000"/>
        </w:rPr>
        <w:t>Stat1</w:t>
      </w:r>
      <w:r>
        <w:rPr>
          <w:i/>
          <w:color w:val="000000"/>
          <w:vertAlign w:val="superscript"/>
        </w:rPr>
        <w:t xml:space="preserve">+/+ </w:t>
      </w:r>
      <w:r>
        <w:rPr>
          <w:color w:val="000000"/>
        </w:rPr>
        <w:t>mice is 149.5</w:t>
      </w:r>
      <w:r w:rsidR="006C3891">
        <w:rPr>
          <w:color w:val="000000"/>
        </w:rPr>
        <w:t xml:space="preserve"> days</w:t>
      </w:r>
      <w:r>
        <w:rPr>
          <w:color w:val="000000"/>
        </w:rPr>
        <w:t xml:space="preserve">, 167.5 days for G609G, </w:t>
      </w:r>
      <w:r>
        <w:rPr>
          <w:i/>
          <w:color w:val="000000"/>
        </w:rPr>
        <w:t>Stat1</w:t>
      </w:r>
      <w:r>
        <w:rPr>
          <w:i/>
          <w:color w:val="000000"/>
          <w:vertAlign w:val="superscript"/>
        </w:rPr>
        <w:t xml:space="preserve">+/- </w:t>
      </w:r>
      <w:r>
        <w:rPr>
          <w:color w:val="000000"/>
        </w:rPr>
        <w:t xml:space="preserve">mice (p=0.6256) and 159.5 days for G609G, </w:t>
      </w:r>
      <w:r>
        <w:rPr>
          <w:i/>
          <w:color w:val="000000"/>
        </w:rPr>
        <w:t>Stat1</w:t>
      </w:r>
      <w:r>
        <w:rPr>
          <w:i/>
          <w:color w:val="000000"/>
          <w:vertAlign w:val="superscript"/>
        </w:rPr>
        <w:t xml:space="preserve">-/- </w:t>
      </w:r>
      <w:r>
        <w:rPr>
          <w:color w:val="000000"/>
        </w:rPr>
        <w:t>(</w:t>
      </w:r>
      <w:r w:rsidR="006C3891">
        <w:rPr>
          <w:color w:val="000000"/>
        </w:rPr>
        <w:t>p=</w:t>
      </w:r>
      <w:r>
        <w:rPr>
          <w:color w:val="000000"/>
        </w:rPr>
        <w:t xml:space="preserve">0.4868). (g) Body weight percentage and (h) Kaplan–Meier survival curves of HFD-fed female G609G, </w:t>
      </w:r>
      <w:r>
        <w:rPr>
          <w:i/>
          <w:color w:val="000000"/>
        </w:rPr>
        <w:t>Stat1</w:t>
      </w:r>
      <w:r>
        <w:rPr>
          <w:i/>
          <w:color w:val="000000"/>
          <w:vertAlign w:val="superscript"/>
        </w:rPr>
        <w:t xml:space="preserve">+/+ </w:t>
      </w:r>
      <w:r>
        <w:rPr>
          <w:color w:val="000000"/>
        </w:rPr>
        <w:t xml:space="preserve">(n=13), G609G, </w:t>
      </w:r>
      <w:r>
        <w:rPr>
          <w:i/>
          <w:color w:val="000000"/>
        </w:rPr>
        <w:t>Stat1</w:t>
      </w:r>
      <w:r>
        <w:rPr>
          <w:i/>
          <w:color w:val="000000"/>
          <w:vertAlign w:val="superscript"/>
        </w:rPr>
        <w:t xml:space="preserve">+/- </w:t>
      </w:r>
      <w:r>
        <w:rPr>
          <w:color w:val="000000"/>
        </w:rPr>
        <w:t xml:space="preserve">(n=6) and G609G, </w:t>
      </w:r>
      <w:r>
        <w:rPr>
          <w:i/>
          <w:color w:val="000000"/>
        </w:rPr>
        <w:t>Stat1</w:t>
      </w:r>
      <w:r>
        <w:rPr>
          <w:i/>
          <w:color w:val="000000"/>
          <w:vertAlign w:val="superscript"/>
        </w:rPr>
        <w:t xml:space="preserve">-/- </w:t>
      </w:r>
      <w:r>
        <w:rPr>
          <w:color w:val="000000"/>
        </w:rPr>
        <w:t xml:space="preserve">(n=6). Median survival of female G609G, </w:t>
      </w:r>
      <w:r>
        <w:rPr>
          <w:i/>
          <w:color w:val="000000"/>
        </w:rPr>
        <w:t>Stat1</w:t>
      </w:r>
      <w:r>
        <w:rPr>
          <w:i/>
          <w:color w:val="000000"/>
          <w:vertAlign w:val="superscript"/>
        </w:rPr>
        <w:t xml:space="preserve">+/+ </w:t>
      </w:r>
      <w:r>
        <w:rPr>
          <w:color w:val="000000"/>
        </w:rPr>
        <w:t xml:space="preserve">mice is 170, 185 days for G609G, </w:t>
      </w:r>
      <w:r>
        <w:rPr>
          <w:i/>
          <w:color w:val="000000"/>
        </w:rPr>
        <w:t>Stat1</w:t>
      </w:r>
      <w:r>
        <w:rPr>
          <w:i/>
          <w:color w:val="000000"/>
          <w:vertAlign w:val="superscript"/>
        </w:rPr>
        <w:t xml:space="preserve">+/- </w:t>
      </w:r>
      <w:r>
        <w:rPr>
          <w:color w:val="000000"/>
        </w:rPr>
        <w:t xml:space="preserve">mice (0.1139) and 157 days for G609G, </w:t>
      </w:r>
      <w:r>
        <w:rPr>
          <w:i/>
          <w:color w:val="000000"/>
        </w:rPr>
        <w:t>Stat1</w:t>
      </w:r>
      <w:r>
        <w:rPr>
          <w:i/>
          <w:color w:val="000000"/>
          <w:vertAlign w:val="superscript"/>
        </w:rPr>
        <w:t xml:space="preserve">-/- </w:t>
      </w:r>
      <w:r>
        <w:rPr>
          <w:color w:val="000000"/>
        </w:rPr>
        <w:t xml:space="preserve">(0.0518). (i) Histology of aortic arch with H&amp;E staining of HFD‐fed G609G mice treated with vehicle or baricitinib (120 days of age) and chow‐fed G609G mice (90 days of age) treated with vehicle, baricitinib or </w:t>
      </w:r>
      <w:r>
        <w:rPr>
          <w:i/>
          <w:color w:val="000000"/>
        </w:rPr>
        <w:t>Stat1</w:t>
      </w:r>
      <w:r>
        <w:rPr>
          <w:i/>
          <w:color w:val="000000"/>
          <w:vertAlign w:val="superscript"/>
        </w:rPr>
        <w:t>+/-</w:t>
      </w:r>
      <w:r>
        <w:rPr>
          <w:color w:val="000000"/>
        </w:rPr>
        <w:t xml:space="preserve"> (25 μm scale). Quantification </w:t>
      </w:r>
      <w:r>
        <w:t>of the amount</w:t>
      </w:r>
      <w:r>
        <w:rPr>
          <w:color w:val="000000"/>
        </w:rPr>
        <w:t xml:space="preserve"> of </w:t>
      </w:r>
      <w:r w:rsidR="006C3891">
        <w:rPr>
          <w:color w:val="000000"/>
        </w:rPr>
        <w:t>V</w:t>
      </w:r>
      <w:r>
        <w:rPr>
          <w:color w:val="000000"/>
        </w:rPr>
        <w:t xml:space="preserve">SMC nuclei is shown in Figure 4k and represents approximately 5 random areas in each mouse sample (n=3). </w:t>
      </w:r>
      <w:r>
        <w:t>*p &lt; 0.05, **p &lt; 0.01, ***p &lt; 0.001, ****p &lt; 0.0001.</w:t>
      </w:r>
    </w:p>
    <w:p w14:paraId="11F87D1E" w14:textId="77777777" w:rsidR="0036059E" w:rsidRDefault="00C52A2A">
      <w:r>
        <w:br w:type="page"/>
      </w:r>
    </w:p>
    <w:p w14:paraId="04E4AC76" w14:textId="77777777" w:rsidR="0036059E" w:rsidRDefault="0036059E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</w:p>
    <w:p w14:paraId="53B8E60F" w14:textId="10C79343" w:rsidR="0036059E" w:rsidRDefault="003F5F79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noProof/>
          <w:color w:val="000000"/>
        </w:rPr>
        <w:drawing>
          <wp:inline distT="0" distB="0" distL="0" distR="0" wp14:anchorId="5BA67312" wp14:editId="6A561C62">
            <wp:extent cx="5943600" cy="3743960"/>
            <wp:effectExtent l="0" t="0" r="0" b="254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upplementary Figure 5.pdf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43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5EBA51" w14:textId="53693BE5" w:rsidR="0036059E" w:rsidRDefault="00C52A2A">
      <w:pPr>
        <w:jc w:val="both"/>
      </w:pPr>
      <w:r>
        <w:rPr>
          <w:b/>
        </w:rPr>
        <w:t xml:space="preserve">Fig. S5. Relative to Figure 5. Targeting Stat1 improves adipocyte health and delays lipodystrophy in </w:t>
      </w:r>
      <w:r w:rsidR="001B7C44">
        <w:rPr>
          <w:b/>
        </w:rPr>
        <w:t xml:space="preserve">progeria </w:t>
      </w:r>
      <w:r>
        <w:rPr>
          <w:b/>
        </w:rPr>
        <w:t xml:space="preserve">mice. </w:t>
      </w:r>
      <w:r>
        <w:t xml:space="preserve">(a) NMR measurements of percentage of fat accumulation in male and female G609G, </w:t>
      </w:r>
      <w:r>
        <w:rPr>
          <w:i/>
        </w:rPr>
        <w:t>Stat1</w:t>
      </w:r>
      <w:r>
        <w:rPr>
          <w:i/>
          <w:vertAlign w:val="superscript"/>
        </w:rPr>
        <w:t xml:space="preserve">+/+ </w:t>
      </w:r>
      <w:r>
        <w:t xml:space="preserve">and G609G, </w:t>
      </w:r>
      <w:r>
        <w:rPr>
          <w:i/>
        </w:rPr>
        <w:t>Stat1</w:t>
      </w:r>
      <w:r>
        <w:rPr>
          <w:i/>
          <w:vertAlign w:val="superscript"/>
        </w:rPr>
        <w:t>+/-</w:t>
      </w:r>
      <w:r>
        <w:t xml:space="preserve"> mice fed standard chow (n=4-8) or (b) HFD (n=6-8). </w:t>
      </w:r>
      <w:r w:rsidRPr="00584EE7">
        <w:t>(c) Measurement of mitochondrial respiration using Oroboros instrument of skeletal muscle (soleus) from mice experimental groups fed a standard chow or</w:t>
      </w:r>
      <w:r>
        <w:t xml:space="preserve"> (d) HFD. Graphs show average ± SEM of oxygen flux in permeabilized soleus samples after sequential additions of octanoyl-l-carnitine (OC); pyruvate and malate (P/M); glutamate (G); adenosine diphosphate (ADP), succinate (Suc), and FCCP (n = 4-5). *p &lt; 0.05, **p &lt; 0.01, ***p &lt; 0.001, ****p &lt; 0.0001.</w:t>
      </w:r>
      <w:r>
        <w:br w:type="page"/>
      </w:r>
    </w:p>
    <w:p w14:paraId="081EB2B6" w14:textId="77777777" w:rsidR="0036059E" w:rsidRDefault="00C52A2A">
      <w:pPr>
        <w:keepNext/>
        <w:pBdr>
          <w:top w:val="nil"/>
          <w:left w:val="nil"/>
          <w:bottom w:val="nil"/>
          <w:right w:val="nil"/>
          <w:between w:val="nil"/>
        </w:pBdr>
        <w:spacing w:before="240" w:after="60"/>
        <w:rPr>
          <w:b/>
          <w:color w:val="000000"/>
        </w:rPr>
      </w:pPr>
      <w:r>
        <w:rPr>
          <w:b/>
          <w:color w:val="000000"/>
        </w:rPr>
        <w:lastRenderedPageBreak/>
        <w:t>Table S1. Antibodies and dilutions employed in this study.</w:t>
      </w:r>
    </w:p>
    <w:tbl>
      <w:tblPr>
        <w:tblStyle w:val="a"/>
        <w:tblW w:w="7487" w:type="dxa"/>
        <w:tblLayout w:type="fixed"/>
        <w:tblLook w:val="0400" w:firstRow="0" w:lastRow="0" w:firstColumn="0" w:lastColumn="0" w:noHBand="0" w:noVBand="1"/>
      </w:tblPr>
      <w:tblGrid>
        <w:gridCol w:w="2720"/>
        <w:gridCol w:w="1057"/>
        <w:gridCol w:w="1805"/>
        <w:gridCol w:w="1905"/>
      </w:tblGrid>
      <w:tr w:rsidR="0036059E" w14:paraId="3C0625B4" w14:textId="77777777">
        <w:trPr>
          <w:trHeight w:val="288"/>
        </w:trPr>
        <w:tc>
          <w:tcPr>
            <w:tcW w:w="2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CBA9835" w14:textId="77777777" w:rsidR="0036059E" w:rsidRDefault="00C52A2A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Antibody</w:t>
            </w:r>
          </w:p>
        </w:tc>
        <w:tc>
          <w:tcPr>
            <w:tcW w:w="105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D6DE38C" w14:textId="77777777" w:rsidR="0036059E" w:rsidRDefault="00C52A2A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Dilution</w:t>
            </w:r>
          </w:p>
        </w:tc>
        <w:tc>
          <w:tcPr>
            <w:tcW w:w="180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BBF57D6" w14:textId="77777777" w:rsidR="0036059E" w:rsidRDefault="00C52A2A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Company</w:t>
            </w:r>
          </w:p>
        </w:tc>
        <w:tc>
          <w:tcPr>
            <w:tcW w:w="190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6998EC0" w14:textId="77777777" w:rsidR="0036059E" w:rsidRDefault="00C52A2A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Catalog number</w:t>
            </w:r>
          </w:p>
        </w:tc>
      </w:tr>
      <w:tr w:rsidR="0036059E" w14:paraId="4D690DA2" w14:textId="77777777">
        <w:trPr>
          <w:trHeight w:val="288"/>
        </w:trPr>
        <w:tc>
          <w:tcPr>
            <w:tcW w:w="27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2E14EF2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β-tubulin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89E6A9D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1-5,000</w:t>
            </w:r>
          </w:p>
        </w:tc>
        <w:tc>
          <w:tcPr>
            <w:tcW w:w="180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06CD490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Origene</w:t>
            </w:r>
          </w:p>
        </w:tc>
        <w:tc>
          <w:tcPr>
            <w:tcW w:w="190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A2375BF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AP31823PU-N</w:t>
            </w:r>
          </w:p>
        </w:tc>
      </w:tr>
      <w:tr w:rsidR="0036059E" w14:paraId="2C2FFC79" w14:textId="77777777">
        <w:trPr>
          <w:trHeight w:val="288"/>
        </w:trPr>
        <w:tc>
          <w:tcPr>
            <w:tcW w:w="27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23CD33F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Lamin A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280F819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1-3,000</w:t>
            </w:r>
          </w:p>
        </w:tc>
        <w:tc>
          <w:tcPr>
            <w:tcW w:w="180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8BA9340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Abcam</w:t>
            </w:r>
          </w:p>
        </w:tc>
        <w:tc>
          <w:tcPr>
            <w:tcW w:w="190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8AFD2A0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ab26300</w:t>
            </w:r>
          </w:p>
        </w:tc>
      </w:tr>
      <w:tr w:rsidR="0036059E" w14:paraId="463C437E" w14:textId="77777777">
        <w:trPr>
          <w:trHeight w:val="288"/>
        </w:trPr>
        <w:tc>
          <w:tcPr>
            <w:tcW w:w="27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7F57836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H3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F1189AF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1-60,000</w:t>
            </w:r>
          </w:p>
        </w:tc>
        <w:tc>
          <w:tcPr>
            <w:tcW w:w="180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EDBBECA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Abcam</w:t>
            </w:r>
          </w:p>
        </w:tc>
        <w:tc>
          <w:tcPr>
            <w:tcW w:w="190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F331868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ab1791</w:t>
            </w:r>
          </w:p>
        </w:tc>
      </w:tr>
      <w:tr w:rsidR="0036059E" w14:paraId="11D0A067" w14:textId="77777777">
        <w:trPr>
          <w:trHeight w:val="288"/>
        </w:trPr>
        <w:tc>
          <w:tcPr>
            <w:tcW w:w="27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0F62054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ISG15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D42EB0A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1-1,000</w:t>
            </w:r>
          </w:p>
        </w:tc>
        <w:tc>
          <w:tcPr>
            <w:tcW w:w="180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B3FC523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Santa Cruz</w:t>
            </w:r>
          </w:p>
        </w:tc>
        <w:tc>
          <w:tcPr>
            <w:tcW w:w="190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87A95C5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sc-166755</w:t>
            </w:r>
          </w:p>
        </w:tc>
      </w:tr>
      <w:tr w:rsidR="0036059E" w14:paraId="78327D12" w14:textId="77777777">
        <w:trPr>
          <w:trHeight w:val="288"/>
        </w:trPr>
        <w:tc>
          <w:tcPr>
            <w:tcW w:w="27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BA65062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LC3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6668597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1-5,000</w:t>
            </w:r>
          </w:p>
        </w:tc>
        <w:tc>
          <w:tcPr>
            <w:tcW w:w="180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61F97FF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NOVUS</w:t>
            </w:r>
          </w:p>
        </w:tc>
        <w:tc>
          <w:tcPr>
            <w:tcW w:w="190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516D693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NB100-2220</w:t>
            </w:r>
          </w:p>
        </w:tc>
      </w:tr>
      <w:tr w:rsidR="0036059E" w14:paraId="5BC05C78" w14:textId="77777777">
        <w:trPr>
          <w:trHeight w:val="288"/>
        </w:trPr>
        <w:tc>
          <w:tcPr>
            <w:tcW w:w="27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3F51A2B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p62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CF9BC90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1-5,000</w:t>
            </w:r>
          </w:p>
        </w:tc>
        <w:tc>
          <w:tcPr>
            <w:tcW w:w="180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3C3AB18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NOVUS</w:t>
            </w:r>
          </w:p>
        </w:tc>
        <w:tc>
          <w:tcPr>
            <w:tcW w:w="190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48775D7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NBP1-48320</w:t>
            </w:r>
          </w:p>
        </w:tc>
      </w:tr>
      <w:tr w:rsidR="0036059E" w14:paraId="4F2E89D8" w14:textId="77777777">
        <w:trPr>
          <w:trHeight w:val="288"/>
        </w:trPr>
        <w:tc>
          <w:tcPr>
            <w:tcW w:w="27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DA85D9A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Ki67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F1BE05F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1-700</w:t>
            </w:r>
          </w:p>
        </w:tc>
        <w:tc>
          <w:tcPr>
            <w:tcW w:w="180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B7B6711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Cell Signaling</w:t>
            </w:r>
          </w:p>
        </w:tc>
        <w:tc>
          <w:tcPr>
            <w:tcW w:w="190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82DC6C0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9129S</w:t>
            </w:r>
          </w:p>
        </w:tc>
      </w:tr>
      <w:tr w:rsidR="0036059E" w14:paraId="4B1E9C37" w14:textId="77777777">
        <w:trPr>
          <w:trHeight w:val="288"/>
        </w:trPr>
        <w:tc>
          <w:tcPr>
            <w:tcW w:w="27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76AF1FE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VDR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CD284E6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1-1,000</w:t>
            </w:r>
          </w:p>
        </w:tc>
        <w:tc>
          <w:tcPr>
            <w:tcW w:w="180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3414D69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Cell Signaling</w:t>
            </w:r>
          </w:p>
        </w:tc>
        <w:tc>
          <w:tcPr>
            <w:tcW w:w="190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B4397AD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12550S</w:t>
            </w:r>
          </w:p>
        </w:tc>
      </w:tr>
      <w:tr w:rsidR="0036059E" w14:paraId="57EBD0C5" w14:textId="77777777">
        <w:trPr>
          <w:trHeight w:val="288"/>
        </w:trPr>
        <w:tc>
          <w:tcPr>
            <w:tcW w:w="27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05BD80C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AMPKα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E7C3E0C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1-1,000</w:t>
            </w:r>
          </w:p>
        </w:tc>
        <w:tc>
          <w:tcPr>
            <w:tcW w:w="180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F65053C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Cell Signaling</w:t>
            </w:r>
          </w:p>
        </w:tc>
        <w:tc>
          <w:tcPr>
            <w:tcW w:w="190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186B572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2757S</w:t>
            </w:r>
          </w:p>
        </w:tc>
      </w:tr>
      <w:tr w:rsidR="0036059E" w14:paraId="692A21F1" w14:textId="77777777">
        <w:trPr>
          <w:trHeight w:val="288"/>
        </w:trPr>
        <w:tc>
          <w:tcPr>
            <w:tcW w:w="27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CB5073C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T172 p-AMPKα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7E35155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1-1,000</w:t>
            </w:r>
          </w:p>
        </w:tc>
        <w:tc>
          <w:tcPr>
            <w:tcW w:w="180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6B3D6C4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Cell Signaling</w:t>
            </w:r>
          </w:p>
        </w:tc>
        <w:tc>
          <w:tcPr>
            <w:tcW w:w="190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C42C91D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50081S</w:t>
            </w:r>
          </w:p>
        </w:tc>
      </w:tr>
      <w:tr w:rsidR="0036059E" w14:paraId="5B1CF9A3" w14:textId="77777777">
        <w:trPr>
          <w:trHeight w:val="288"/>
        </w:trPr>
        <w:tc>
          <w:tcPr>
            <w:tcW w:w="27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065148A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S6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0D19A86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1-5,000</w:t>
            </w:r>
          </w:p>
        </w:tc>
        <w:tc>
          <w:tcPr>
            <w:tcW w:w="180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421B67C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Cell Signaling</w:t>
            </w:r>
          </w:p>
        </w:tc>
        <w:tc>
          <w:tcPr>
            <w:tcW w:w="190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C62888B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2217S</w:t>
            </w:r>
          </w:p>
        </w:tc>
      </w:tr>
      <w:tr w:rsidR="0036059E" w14:paraId="48DE7DAB" w14:textId="77777777">
        <w:trPr>
          <w:trHeight w:val="288"/>
        </w:trPr>
        <w:tc>
          <w:tcPr>
            <w:tcW w:w="27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1A1C473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S240/244 p-S6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5FA2846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1-5,000</w:t>
            </w:r>
          </w:p>
        </w:tc>
        <w:tc>
          <w:tcPr>
            <w:tcW w:w="180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8E7DD9F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Cell Signaling</w:t>
            </w:r>
          </w:p>
        </w:tc>
        <w:tc>
          <w:tcPr>
            <w:tcW w:w="190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22DFA0C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2215S</w:t>
            </w:r>
          </w:p>
        </w:tc>
      </w:tr>
      <w:tr w:rsidR="0036059E" w14:paraId="7E69C463" w14:textId="77777777">
        <w:trPr>
          <w:trHeight w:val="288"/>
        </w:trPr>
        <w:tc>
          <w:tcPr>
            <w:tcW w:w="27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A87E4C3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S757 p-ULK1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A5FC5EF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1-1,000</w:t>
            </w:r>
          </w:p>
        </w:tc>
        <w:tc>
          <w:tcPr>
            <w:tcW w:w="180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7394B65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Cell Signaling</w:t>
            </w:r>
          </w:p>
        </w:tc>
        <w:tc>
          <w:tcPr>
            <w:tcW w:w="190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C0E5F45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14202T</w:t>
            </w:r>
          </w:p>
        </w:tc>
      </w:tr>
      <w:tr w:rsidR="0036059E" w14:paraId="76D489C6" w14:textId="77777777">
        <w:trPr>
          <w:trHeight w:val="288"/>
        </w:trPr>
        <w:tc>
          <w:tcPr>
            <w:tcW w:w="27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AA00094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TBK1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742F5EC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1-1,000</w:t>
            </w:r>
          </w:p>
        </w:tc>
        <w:tc>
          <w:tcPr>
            <w:tcW w:w="180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EE13580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Cell Signaling</w:t>
            </w:r>
          </w:p>
        </w:tc>
        <w:tc>
          <w:tcPr>
            <w:tcW w:w="190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0CE5661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3013S</w:t>
            </w:r>
          </w:p>
        </w:tc>
      </w:tr>
      <w:tr w:rsidR="0036059E" w14:paraId="2528CCE6" w14:textId="77777777">
        <w:trPr>
          <w:trHeight w:val="288"/>
        </w:trPr>
        <w:tc>
          <w:tcPr>
            <w:tcW w:w="27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2B65628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S172 p-TBK1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81425A8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1-1,000</w:t>
            </w:r>
          </w:p>
        </w:tc>
        <w:tc>
          <w:tcPr>
            <w:tcW w:w="180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7F571CC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Cell Signaling</w:t>
            </w:r>
          </w:p>
        </w:tc>
        <w:tc>
          <w:tcPr>
            <w:tcW w:w="190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E1BA229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5483S</w:t>
            </w:r>
          </w:p>
        </w:tc>
      </w:tr>
      <w:tr w:rsidR="0036059E" w14:paraId="20071F94" w14:textId="77777777">
        <w:trPr>
          <w:trHeight w:val="288"/>
        </w:trPr>
        <w:tc>
          <w:tcPr>
            <w:tcW w:w="27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9494A67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STAT1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BB829C1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1-1,000</w:t>
            </w:r>
          </w:p>
        </w:tc>
        <w:tc>
          <w:tcPr>
            <w:tcW w:w="180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326D73C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Cell Signaling</w:t>
            </w:r>
          </w:p>
        </w:tc>
        <w:tc>
          <w:tcPr>
            <w:tcW w:w="190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41BF807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14994S</w:t>
            </w:r>
          </w:p>
        </w:tc>
      </w:tr>
      <w:tr w:rsidR="0036059E" w14:paraId="38373549" w14:textId="77777777">
        <w:trPr>
          <w:trHeight w:val="288"/>
        </w:trPr>
        <w:tc>
          <w:tcPr>
            <w:tcW w:w="27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C532DFB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Y701 p-STAT1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E17DF62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1-1,000</w:t>
            </w:r>
          </w:p>
        </w:tc>
        <w:tc>
          <w:tcPr>
            <w:tcW w:w="180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4E18D56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Cell Signaling</w:t>
            </w:r>
          </w:p>
        </w:tc>
        <w:tc>
          <w:tcPr>
            <w:tcW w:w="190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BF81B2C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7649S</w:t>
            </w:r>
          </w:p>
        </w:tc>
      </w:tr>
      <w:tr w:rsidR="0036059E" w14:paraId="1103ACD5" w14:textId="77777777">
        <w:trPr>
          <w:trHeight w:val="288"/>
        </w:trPr>
        <w:tc>
          <w:tcPr>
            <w:tcW w:w="27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904043E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S727 p-STAT1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A238661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1-1,000</w:t>
            </w:r>
          </w:p>
        </w:tc>
        <w:tc>
          <w:tcPr>
            <w:tcW w:w="180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FE7187E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Cell Signaling</w:t>
            </w:r>
          </w:p>
        </w:tc>
        <w:tc>
          <w:tcPr>
            <w:tcW w:w="190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FA39123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9177S</w:t>
            </w:r>
          </w:p>
        </w:tc>
      </w:tr>
      <w:tr w:rsidR="0036059E" w14:paraId="63A5A214" w14:textId="77777777">
        <w:trPr>
          <w:trHeight w:val="288"/>
        </w:trPr>
        <w:tc>
          <w:tcPr>
            <w:tcW w:w="27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50A14EF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RIG-I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ED1FF72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1-1,000</w:t>
            </w:r>
          </w:p>
        </w:tc>
        <w:tc>
          <w:tcPr>
            <w:tcW w:w="180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941A476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Cell Signaling</w:t>
            </w:r>
          </w:p>
        </w:tc>
        <w:tc>
          <w:tcPr>
            <w:tcW w:w="190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64F1A02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3743S</w:t>
            </w:r>
          </w:p>
        </w:tc>
      </w:tr>
    </w:tbl>
    <w:p w14:paraId="6447D3EC" w14:textId="77777777" w:rsidR="0036059E" w:rsidRDefault="0036059E">
      <w:pPr>
        <w:keepNext/>
        <w:pBdr>
          <w:top w:val="nil"/>
          <w:left w:val="nil"/>
          <w:bottom w:val="nil"/>
          <w:right w:val="nil"/>
          <w:between w:val="nil"/>
        </w:pBdr>
        <w:spacing w:before="240" w:after="60"/>
        <w:rPr>
          <w:b/>
          <w:color w:val="000000"/>
        </w:rPr>
      </w:pPr>
    </w:p>
    <w:p w14:paraId="3299EBD6" w14:textId="77777777" w:rsidR="0036059E" w:rsidRDefault="0036059E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</w:p>
    <w:p w14:paraId="55F9482F" w14:textId="77777777" w:rsidR="0036059E" w:rsidRDefault="0036059E">
      <w:pPr>
        <w:keepNext/>
        <w:pBdr>
          <w:top w:val="nil"/>
          <w:left w:val="nil"/>
          <w:bottom w:val="nil"/>
          <w:right w:val="nil"/>
          <w:between w:val="nil"/>
        </w:pBdr>
        <w:spacing w:before="240" w:after="60"/>
        <w:rPr>
          <w:b/>
          <w:color w:val="000000"/>
        </w:rPr>
      </w:pPr>
    </w:p>
    <w:p w14:paraId="57530BF0" w14:textId="77777777" w:rsidR="0036059E" w:rsidRDefault="0036059E">
      <w:pPr>
        <w:keepNext/>
        <w:pBdr>
          <w:top w:val="nil"/>
          <w:left w:val="nil"/>
          <w:bottom w:val="nil"/>
          <w:right w:val="nil"/>
          <w:between w:val="nil"/>
        </w:pBdr>
        <w:spacing w:before="240" w:after="60"/>
        <w:rPr>
          <w:b/>
          <w:color w:val="000000"/>
        </w:rPr>
      </w:pPr>
    </w:p>
    <w:p w14:paraId="27FDE05D" w14:textId="77777777" w:rsidR="0036059E" w:rsidRDefault="0036059E">
      <w:pPr>
        <w:keepNext/>
        <w:pBdr>
          <w:top w:val="nil"/>
          <w:left w:val="nil"/>
          <w:bottom w:val="nil"/>
          <w:right w:val="nil"/>
          <w:between w:val="nil"/>
        </w:pBdr>
        <w:spacing w:before="240" w:after="60"/>
        <w:rPr>
          <w:b/>
          <w:color w:val="000000"/>
        </w:rPr>
      </w:pPr>
    </w:p>
    <w:p w14:paraId="51951205" w14:textId="77777777" w:rsidR="0036059E" w:rsidRDefault="0036059E">
      <w:pPr>
        <w:keepNext/>
        <w:pBdr>
          <w:top w:val="nil"/>
          <w:left w:val="nil"/>
          <w:bottom w:val="nil"/>
          <w:right w:val="nil"/>
          <w:between w:val="nil"/>
        </w:pBdr>
        <w:spacing w:before="240" w:after="60"/>
        <w:rPr>
          <w:b/>
          <w:color w:val="000000"/>
        </w:rPr>
      </w:pPr>
    </w:p>
    <w:p w14:paraId="5EE13988" w14:textId="77777777" w:rsidR="0036059E" w:rsidRDefault="0036059E">
      <w:pPr>
        <w:keepNext/>
        <w:pBdr>
          <w:top w:val="nil"/>
          <w:left w:val="nil"/>
          <w:bottom w:val="nil"/>
          <w:right w:val="nil"/>
          <w:between w:val="nil"/>
        </w:pBdr>
        <w:spacing w:before="240" w:after="60"/>
        <w:rPr>
          <w:b/>
          <w:color w:val="000000"/>
        </w:rPr>
      </w:pPr>
    </w:p>
    <w:p w14:paraId="01690FF2" w14:textId="77777777" w:rsidR="0036059E" w:rsidRDefault="0036059E">
      <w:pPr>
        <w:keepNext/>
        <w:pBdr>
          <w:top w:val="nil"/>
          <w:left w:val="nil"/>
          <w:bottom w:val="nil"/>
          <w:right w:val="nil"/>
          <w:between w:val="nil"/>
        </w:pBdr>
        <w:spacing w:before="240" w:after="60"/>
        <w:rPr>
          <w:b/>
          <w:color w:val="000000"/>
        </w:rPr>
      </w:pPr>
    </w:p>
    <w:p w14:paraId="36955BDB" w14:textId="77777777" w:rsidR="0036059E" w:rsidRDefault="0036059E">
      <w:pPr>
        <w:keepNext/>
        <w:pBdr>
          <w:top w:val="nil"/>
          <w:left w:val="nil"/>
          <w:bottom w:val="nil"/>
          <w:right w:val="nil"/>
          <w:between w:val="nil"/>
        </w:pBdr>
        <w:spacing w:before="240" w:after="60"/>
        <w:rPr>
          <w:b/>
          <w:color w:val="000000"/>
        </w:rPr>
      </w:pPr>
    </w:p>
    <w:p w14:paraId="1AF1A918" w14:textId="77777777" w:rsidR="0036059E" w:rsidRDefault="0036059E">
      <w:pPr>
        <w:keepNext/>
        <w:pBdr>
          <w:top w:val="nil"/>
          <w:left w:val="nil"/>
          <w:bottom w:val="nil"/>
          <w:right w:val="nil"/>
          <w:between w:val="nil"/>
        </w:pBdr>
        <w:spacing w:before="240" w:after="60"/>
        <w:rPr>
          <w:b/>
          <w:color w:val="000000"/>
        </w:rPr>
      </w:pPr>
    </w:p>
    <w:p w14:paraId="43F0B611" w14:textId="77777777" w:rsidR="0036059E" w:rsidRDefault="0036059E">
      <w:pPr>
        <w:keepNext/>
        <w:pBdr>
          <w:top w:val="nil"/>
          <w:left w:val="nil"/>
          <w:bottom w:val="nil"/>
          <w:right w:val="nil"/>
          <w:between w:val="nil"/>
        </w:pBdr>
        <w:spacing w:before="240" w:after="60"/>
        <w:rPr>
          <w:b/>
          <w:color w:val="000000"/>
        </w:rPr>
      </w:pPr>
    </w:p>
    <w:p w14:paraId="0485746F" w14:textId="77777777" w:rsidR="0036059E" w:rsidRDefault="00C52A2A">
      <w:pPr>
        <w:rPr>
          <w:b/>
        </w:rPr>
      </w:pPr>
      <w:r>
        <w:br w:type="page"/>
      </w:r>
    </w:p>
    <w:p w14:paraId="0ED07A07" w14:textId="77777777" w:rsidR="0036059E" w:rsidRDefault="00C52A2A">
      <w:pPr>
        <w:keepNext/>
        <w:pBdr>
          <w:top w:val="nil"/>
          <w:left w:val="nil"/>
          <w:bottom w:val="nil"/>
          <w:right w:val="nil"/>
          <w:between w:val="nil"/>
        </w:pBdr>
        <w:spacing w:before="240" w:after="60"/>
        <w:rPr>
          <w:b/>
          <w:color w:val="000000"/>
        </w:rPr>
      </w:pPr>
      <w:r>
        <w:rPr>
          <w:b/>
          <w:color w:val="000000"/>
        </w:rPr>
        <w:lastRenderedPageBreak/>
        <w:t>Table S2. Reagents, diets and resources employed in this study.</w:t>
      </w:r>
    </w:p>
    <w:tbl>
      <w:tblPr>
        <w:tblStyle w:val="a0"/>
        <w:tblW w:w="9440" w:type="dxa"/>
        <w:tblLayout w:type="fixed"/>
        <w:tblLook w:val="0400" w:firstRow="0" w:lastRow="0" w:firstColumn="0" w:lastColumn="0" w:noHBand="0" w:noVBand="1"/>
      </w:tblPr>
      <w:tblGrid>
        <w:gridCol w:w="5080"/>
        <w:gridCol w:w="2000"/>
        <w:gridCol w:w="2360"/>
      </w:tblGrid>
      <w:tr w:rsidR="0036059E" w14:paraId="058BC02C" w14:textId="77777777">
        <w:trPr>
          <w:trHeight w:val="288"/>
        </w:trPr>
        <w:tc>
          <w:tcPr>
            <w:tcW w:w="5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EE61EC1" w14:textId="77777777" w:rsidR="0036059E" w:rsidRDefault="00C52A2A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Reagent</w:t>
            </w:r>
          </w:p>
        </w:tc>
        <w:tc>
          <w:tcPr>
            <w:tcW w:w="200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D36C582" w14:textId="77777777" w:rsidR="0036059E" w:rsidRDefault="00C52A2A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Company</w:t>
            </w:r>
          </w:p>
        </w:tc>
        <w:tc>
          <w:tcPr>
            <w:tcW w:w="23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943B537" w14:textId="77777777" w:rsidR="0036059E" w:rsidRDefault="00C52A2A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Catalog number</w:t>
            </w:r>
          </w:p>
        </w:tc>
      </w:tr>
      <w:tr w:rsidR="0036059E" w14:paraId="1A4807BF" w14:textId="77777777">
        <w:trPr>
          <w:trHeight w:val="288"/>
        </w:trPr>
        <w:tc>
          <w:tcPr>
            <w:tcW w:w="50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D580C82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ADP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5E4BDBB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Milipore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34F74FF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117105</w:t>
            </w:r>
          </w:p>
        </w:tc>
      </w:tr>
      <w:tr w:rsidR="0036059E" w14:paraId="27FEF972" w14:textId="77777777">
        <w:trPr>
          <w:trHeight w:val="288"/>
        </w:trPr>
        <w:tc>
          <w:tcPr>
            <w:tcW w:w="50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85DEB33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Baricitinib (JAK-STAT inhibitor)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614F8F1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TargetMol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D9F013B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T2485</w:t>
            </w:r>
          </w:p>
        </w:tc>
      </w:tr>
      <w:tr w:rsidR="0036059E" w14:paraId="2F661F23" w14:textId="77777777">
        <w:trPr>
          <w:trHeight w:val="288"/>
        </w:trPr>
        <w:tc>
          <w:tcPr>
            <w:tcW w:w="50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BB4490D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Blebbistatin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E63723B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Cayman Chemical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8221AAC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13013</w:t>
            </w:r>
          </w:p>
        </w:tc>
      </w:tr>
      <w:tr w:rsidR="0036059E" w14:paraId="0D588590" w14:textId="77777777">
        <w:trPr>
          <w:trHeight w:val="288"/>
        </w:trPr>
        <w:tc>
          <w:tcPr>
            <w:tcW w:w="50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BC555B5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BSA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C75F258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Sigma-Aldrich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3DF01E5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A7906</w:t>
            </w:r>
          </w:p>
        </w:tc>
      </w:tr>
      <w:tr w:rsidR="0036059E" w14:paraId="0E9AD20E" w14:textId="77777777">
        <w:trPr>
          <w:trHeight w:val="288"/>
        </w:trPr>
        <w:tc>
          <w:tcPr>
            <w:tcW w:w="50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80890D9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Calcitriol (1</w:t>
            </w:r>
            <w:r>
              <w:rPr>
                <w:rFonts w:ascii="Cambria Math" w:eastAsia="Cambria Math" w:hAnsi="Cambria Math" w:cs="Cambria Math"/>
                <w:color w:val="000000"/>
              </w:rPr>
              <w:t>𝛼</w:t>
            </w:r>
            <w:r>
              <w:rPr>
                <w:color w:val="000000"/>
              </w:rPr>
              <w:t>,25-dihydroxyvitamin D3)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BA99CC4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Cayman Chemical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4EFCD10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71820</w:t>
            </w:r>
          </w:p>
        </w:tc>
      </w:tr>
      <w:tr w:rsidR="0036059E" w14:paraId="244D7221" w14:textId="77777777">
        <w:trPr>
          <w:trHeight w:val="288"/>
        </w:trPr>
        <w:tc>
          <w:tcPr>
            <w:tcW w:w="50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479247F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Chloroquine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67A0BEF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Sigma-Aldrich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3288399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C6628</w:t>
            </w:r>
          </w:p>
        </w:tc>
      </w:tr>
      <w:tr w:rsidR="0036059E" w14:paraId="57391AEA" w14:textId="77777777">
        <w:trPr>
          <w:trHeight w:val="288"/>
        </w:trPr>
        <w:tc>
          <w:tcPr>
            <w:tcW w:w="50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A2024E5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Chow diet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E3434EA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LabDiet 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3DED90A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5L0B</w:t>
            </w:r>
          </w:p>
        </w:tc>
      </w:tr>
      <w:tr w:rsidR="0036059E" w14:paraId="795A5B2C" w14:textId="77777777">
        <w:trPr>
          <w:trHeight w:val="288"/>
        </w:trPr>
        <w:tc>
          <w:tcPr>
            <w:tcW w:w="50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4CA6B62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Chow diet + cholecalciferol-D3 10,000 IU kg-1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486696B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LabDiet 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386E70A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9GEQ</w:t>
            </w:r>
          </w:p>
        </w:tc>
      </w:tr>
      <w:tr w:rsidR="0036059E" w14:paraId="6ED8372D" w14:textId="77777777">
        <w:trPr>
          <w:trHeight w:val="288"/>
        </w:trPr>
        <w:tc>
          <w:tcPr>
            <w:tcW w:w="50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A68A072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Creatine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ADFF9D3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Sigma-Aldrich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D7FE746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C0780</w:t>
            </w:r>
          </w:p>
        </w:tc>
      </w:tr>
      <w:tr w:rsidR="0036059E" w14:paraId="0C3F5D13" w14:textId="77777777">
        <w:trPr>
          <w:trHeight w:val="288"/>
        </w:trPr>
        <w:tc>
          <w:tcPr>
            <w:tcW w:w="50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7C9B5E0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DAPI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0534E62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Vectashield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6F2D0C1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H-1800</w:t>
            </w:r>
          </w:p>
        </w:tc>
      </w:tr>
      <w:tr w:rsidR="0036059E" w14:paraId="29CE92F5" w14:textId="77777777">
        <w:trPr>
          <w:trHeight w:val="288"/>
        </w:trPr>
        <w:tc>
          <w:tcPr>
            <w:tcW w:w="50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5E25706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DMSO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7317912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Sigma-Aldrich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FFE4CA2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D2650</w:t>
            </w:r>
          </w:p>
        </w:tc>
      </w:tr>
      <w:tr w:rsidR="0036059E" w14:paraId="0AB2F9AD" w14:textId="77777777">
        <w:trPr>
          <w:trHeight w:val="288"/>
        </w:trPr>
        <w:tc>
          <w:tcPr>
            <w:tcW w:w="50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4E88C01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Doxycycline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84FFBC0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Sigma-Aldrich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F79B21E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D9891</w:t>
            </w:r>
          </w:p>
        </w:tc>
      </w:tr>
      <w:tr w:rsidR="0036059E" w14:paraId="2EADCA5B" w14:textId="77777777">
        <w:trPr>
          <w:trHeight w:val="288"/>
        </w:trPr>
        <w:tc>
          <w:tcPr>
            <w:tcW w:w="50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F210DFC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Dulbecco’s modified Eagle’s medium (DMEM)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2222F81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Sigma-Aldrich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48508C1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D5796</w:t>
            </w:r>
          </w:p>
        </w:tc>
      </w:tr>
      <w:tr w:rsidR="0036059E" w14:paraId="7D8BD633" w14:textId="77777777">
        <w:trPr>
          <w:trHeight w:val="288"/>
        </w:trPr>
        <w:tc>
          <w:tcPr>
            <w:tcW w:w="50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C38C160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FCCP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85F622F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Cayman Chemical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E46648A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 15218</w:t>
            </w:r>
          </w:p>
        </w:tc>
      </w:tr>
      <w:tr w:rsidR="0036059E" w14:paraId="288C9669" w14:textId="77777777">
        <w:trPr>
          <w:trHeight w:val="288"/>
        </w:trPr>
        <w:tc>
          <w:tcPr>
            <w:tcW w:w="50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8A55B15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Fetal Bovine Serum (FBS)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AA43EDE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Atlas Biologicals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A0CCFCD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EF-0500-A</w:t>
            </w:r>
          </w:p>
        </w:tc>
      </w:tr>
      <w:tr w:rsidR="0036059E" w14:paraId="7B55F004" w14:textId="77777777">
        <w:trPr>
          <w:trHeight w:val="288"/>
        </w:trPr>
        <w:tc>
          <w:tcPr>
            <w:tcW w:w="50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472F0B2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Formaldehyde solution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8889922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Sigma-Aldrich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B67773B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F8775</w:t>
            </w:r>
          </w:p>
        </w:tc>
      </w:tr>
      <w:tr w:rsidR="0036059E" w14:paraId="5C472863" w14:textId="77777777">
        <w:trPr>
          <w:trHeight w:val="288"/>
        </w:trPr>
        <w:tc>
          <w:tcPr>
            <w:tcW w:w="50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AE5C4B6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Gel cream hair remover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BB84C50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Veet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8547CDD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8329150</w:t>
            </w:r>
          </w:p>
        </w:tc>
      </w:tr>
      <w:tr w:rsidR="0036059E" w14:paraId="285B0B9F" w14:textId="77777777">
        <w:trPr>
          <w:trHeight w:val="288"/>
        </w:trPr>
        <w:tc>
          <w:tcPr>
            <w:tcW w:w="50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0E552C7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Glucose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8A57CF3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Agilent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FB75C42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103577-100</w:t>
            </w:r>
          </w:p>
        </w:tc>
      </w:tr>
      <w:tr w:rsidR="0036059E" w14:paraId="0C017FA1" w14:textId="77777777">
        <w:trPr>
          <w:trHeight w:val="288"/>
        </w:trPr>
        <w:tc>
          <w:tcPr>
            <w:tcW w:w="50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7D99CB7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Glutamate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25DFD0A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Sigma-Aldrich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AC112F7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 G1251</w:t>
            </w:r>
          </w:p>
        </w:tc>
      </w:tr>
      <w:tr w:rsidR="0036059E" w14:paraId="2D97D697" w14:textId="77777777">
        <w:trPr>
          <w:trHeight w:val="288"/>
        </w:trPr>
        <w:tc>
          <w:tcPr>
            <w:tcW w:w="50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089EB34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Glutamine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610E7B5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Agilent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195DEF9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103579-100</w:t>
            </w:r>
          </w:p>
        </w:tc>
      </w:tr>
      <w:tr w:rsidR="0036059E" w14:paraId="6A5A9BBD" w14:textId="77777777">
        <w:trPr>
          <w:trHeight w:val="288"/>
        </w:trPr>
        <w:tc>
          <w:tcPr>
            <w:tcW w:w="50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5103A6B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High-fat diet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A9DF35C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Research Diet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88DFE1E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D12492</w:t>
            </w:r>
          </w:p>
        </w:tc>
      </w:tr>
      <w:tr w:rsidR="0036059E" w14:paraId="4F2C4B3D" w14:textId="77777777">
        <w:trPr>
          <w:trHeight w:val="288"/>
        </w:trPr>
        <w:tc>
          <w:tcPr>
            <w:tcW w:w="50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1158F82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Octanoyl Carnitine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32F2CA5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TOCRIS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3D0752E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605</w:t>
            </w:r>
          </w:p>
        </w:tc>
      </w:tr>
      <w:tr w:rsidR="0036059E" w14:paraId="0B2C0940" w14:textId="77777777">
        <w:trPr>
          <w:trHeight w:val="288"/>
        </w:trPr>
        <w:tc>
          <w:tcPr>
            <w:tcW w:w="50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14F41B8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 xml:space="preserve">Polyethylene glycol, PEG 300, 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8991287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Sigma-Aldrich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368810F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90878</w:t>
            </w:r>
          </w:p>
        </w:tc>
      </w:tr>
      <w:tr w:rsidR="0036059E" w14:paraId="5A84FF77" w14:textId="77777777">
        <w:trPr>
          <w:trHeight w:val="288"/>
        </w:trPr>
        <w:tc>
          <w:tcPr>
            <w:tcW w:w="50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36B85D6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Power SYBR Green PCR Master Mix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EFA3550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Applied Biosystems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FDC1E59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4367659</w:t>
            </w:r>
          </w:p>
        </w:tc>
      </w:tr>
      <w:tr w:rsidR="0036059E" w14:paraId="360833D1" w14:textId="77777777">
        <w:trPr>
          <w:trHeight w:val="288"/>
        </w:trPr>
        <w:tc>
          <w:tcPr>
            <w:tcW w:w="50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B496ED8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Pyruvate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B2E1C8E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Agilent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30A1D06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103578-100</w:t>
            </w:r>
          </w:p>
        </w:tc>
      </w:tr>
      <w:tr w:rsidR="0036059E" w14:paraId="183EB5A9" w14:textId="77777777">
        <w:trPr>
          <w:trHeight w:val="288"/>
        </w:trPr>
        <w:tc>
          <w:tcPr>
            <w:tcW w:w="50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3B89B16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Saponin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C229AC0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Sigma-Aldrich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6975FB0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57900</w:t>
            </w:r>
          </w:p>
        </w:tc>
      </w:tr>
      <w:tr w:rsidR="0036059E" w14:paraId="5830922F" w14:textId="77777777">
        <w:trPr>
          <w:trHeight w:val="288"/>
        </w:trPr>
        <w:tc>
          <w:tcPr>
            <w:tcW w:w="50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8CBDC40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Sodium pyruvate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FCD6481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Sigma-Aldrich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595A03A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P2256</w:t>
            </w:r>
          </w:p>
        </w:tc>
      </w:tr>
      <w:tr w:rsidR="0036059E" w14:paraId="531DF64D" w14:textId="77777777">
        <w:trPr>
          <w:trHeight w:val="288"/>
        </w:trPr>
        <w:tc>
          <w:tcPr>
            <w:tcW w:w="50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A64E8FE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Succinate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C4B42E5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Sigma-Aldrich 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E52373E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 S3674</w:t>
            </w:r>
          </w:p>
        </w:tc>
      </w:tr>
      <w:tr w:rsidR="0036059E" w14:paraId="3C5D4E6A" w14:textId="77777777">
        <w:trPr>
          <w:trHeight w:val="288"/>
        </w:trPr>
        <w:tc>
          <w:tcPr>
            <w:tcW w:w="50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F7ECB54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Triton X-100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E4B29CE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Fisher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48FD14D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BP151-500</w:t>
            </w:r>
          </w:p>
        </w:tc>
      </w:tr>
      <w:tr w:rsidR="0036059E" w14:paraId="21EC0CB4" w14:textId="77777777">
        <w:trPr>
          <w:trHeight w:val="288"/>
        </w:trPr>
        <w:tc>
          <w:tcPr>
            <w:tcW w:w="50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296115F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 xml:space="preserve">Tween 20 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22553B0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Fisher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D08492C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BP337500</w:t>
            </w:r>
          </w:p>
        </w:tc>
      </w:tr>
      <w:tr w:rsidR="0036059E" w14:paraId="5DA03D93" w14:textId="77777777">
        <w:trPr>
          <w:trHeight w:val="288"/>
        </w:trPr>
        <w:tc>
          <w:tcPr>
            <w:tcW w:w="50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7B0288F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Tween 80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C10E79E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Sigma-Aldrich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F926100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P1754</w:t>
            </w:r>
          </w:p>
        </w:tc>
      </w:tr>
      <w:tr w:rsidR="0036059E" w14:paraId="4A6A6712" w14:textId="77777777">
        <w:trPr>
          <w:trHeight w:val="288"/>
        </w:trPr>
        <w:tc>
          <w:tcPr>
            <w:tcW w:w="50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76724EA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 xml:space="preserve">UREA buffer 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B001027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Sigma-Aldrich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C789EA1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51457</w:t>
            </w:r>
          </w:p>
        </w:tc>
      </w:tr>
      <w:tr w:rsidR="0036059E" w14:paraId="16FD565C" w14:textId="77777777">
        <w:trPr>
          <w:trHeight w:val="288"/>
        </w:trPr>
        <w:tc>
          <w:tcPr>
            <w:tcW w:w="50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F00FC8C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XF Base Assay media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3E56CFD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Agilent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392EF90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103335-100</w:t>
            </w:r>
          </w:p>
        </w:tc>
      </w:tr>
    </w:tbl>
    <w:p w14:paraId="0FE6C23E" w14:textId="77777777" w:rsidR="0036059E" w:rsidRDefault="0036059E">
      <w:pPr>
        <w:keepNext/>
        <w:pBdr>
          <w:top w:val="nil"/>
          <w:left w:val="nil"/>
          <w:bottom w:val="nil"/>
          <w:right w:val="nil"/>
          <w:between w:val="nil"/>
        </w:pBdr>
        <w:spacing w:before="240" w:after="60"/>
        <w:rPr>
          <w:b/>
          <w:color w:val="000000"/>
        </w:rPr>
      </w:pPr>
    </w:p>
    <w:p w14:paraId="22B68E8E" w14:textId="77777777" w:rsidR="0036059E" w:rsidRDefault="0036059E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</w:p>
    <w:p w14:paraId="5087A2BE" w14:textId="77777777" w:rsidR="0036059E" w:rsidRDefault="00C52A2A">
      <w:r>
        <w:br w:type="page"/>
      </w:r>
    </w:p>
    <w:p w14:paraId="7E7B45F6" w14:textId="77777777" w:rsidR="0036059E" w:rsidRDefault="00C52A2A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</w:rPr>
      </w:pPr>
      <w:r>
        <w:rPr>
          <w:b/>
          <w:color w:val="000000"/>
        </w:rPr>
        <w:lastRenderedPageBreak/>
        <w:t>Table S3. Assays and kits used in this study.</w:t>
      </w:r>
    </w:p>
    <w:tbl>
      <w:tblPr>
        <w:tblStyle w:val="a1"/>
        <w:tblW w:w="9445" w:type="dxa"/>
        <w:tblLayout w:type="fixed"/>
        <w:tblLook w:val="0400" w:firstRow="0" w:lastRow="0" w:firstColumn="0" w:lastColumn="0" w:noHBand="0" w:noVBand="1"/>
      </w:tblPr>
      <w:tblGrid>
        <w:gridCol w:w="5035"/>
        <w:gridCol w:w="2070"/>
        <w:gridCol w:w="2340"/>
      </w:tblGrid>
      <w:tr w:rsidR="0036059E" w14:paraId="4ED118A1" w14:textId="77777777">
        <w:trPr>
          <w:trHeight w:val="288"/>
        </w:trPr>
        <w:tc>
          <w:tcPr>
            <w:tcW w:w="5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A37E0A2" w14:textId="77777777" w:rsidR="0036059E" w:rsidRDefault="00C52A2A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Kit</w:t>
            </w:r>
          </w:p>
        </w:tc>
        <w:tc>
          <w:tcPr>
            <w:tcW w:w="207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CB180D8" w14:textId="77777777" w:rsidR="0036059E" w:rsidRDefault="00C52A2A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Company</w:t>
            </w:r>
          </w:p>
        </w:tc>
        <w:tc>
          <w:tcPr>
            <w:tcW w:w="23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0A897B7" w14:textId="77777777" w:rsidR="0036059E" w:rsidRDefault="00C52A2A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Catalog Number</w:t>
            </w:r>
          </w:p>
        </w:tc>
      </w:tr>
      <w:tr w:rsidR="0036059E" w14:paraId="1FD6E9D8" w14:textId="77777777">
        <w:trPr>
          <w:trHeight w:val="288"/>
        </w:trPr>
        <w:tc>
          <w:tcPr>
            <w:tcW w:w="50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6AAA776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 xml:space="preserve">L-lactate assay 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BE744F1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Sigma-Aldrich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24C9AAF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MAK329</w:t>
            </w:r>
          </w:p>
        </w:tc>
      </w:tr>
      <w:tr w:rsidR="0036059E" w14:paraId="6D17C872" w14:textId="77777777">
        <w:trPr>
          <w:trHeight w:val="288"/>
        </w:trPr>
        <w:tc>
          <w:tcPr>
            <w:tcW w:w="50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2D5B4C6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Mitochondrial Stress Test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B84D757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Agilent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245DC0E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103015-100</w:t>
            </w:r>
          </w:p>
        </w:tc>
      </w:tr>
      <w:tr w:rsidR="0036059E" w14:paraId="6FB31A44" w14:textId="77777777">
        <w:trPr>
          <w:trHeight w:val="288"/>
        </w:trPr>
        <w:tc>
          <w:tcPr>
            <w:tcW w:w="50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471A291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SuperScript VILO cDNA Synthesis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67676E8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Invitrogen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9BC8125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11754-050</w:t>
            </w:r>
          </w:p>
        </w:tc>
      </w:tr>
      <w:tr w:rsidR="0036059E" w14:paraId="4AD7246F" w14:textId="77777777">
        <w:trPr>
          <w:trHeight w:val="288"/>
        </w:trPr>
        <w:tc>
          <w:tcPr>
            <w:tcW w:w="50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5039AE3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Direct-zol RNA Mini prep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659DDCB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Zymo Research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09E7ABB" w14:textId="77777777" w:rsidR="0036059E" w:rsidRDefault="00C52A2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R2052</w:t>
            </w:r>
          </w:p>
        </w:tc>
      </w:tr>
    </w:tbl>
    <w:p w14:paraId="3A9DA19F" w14:textId="77777777" w:rsidR="0036059E" w:rsidRDefault="0036059E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</w:rPr>
      </w:pPr>
    </w:p>
    <w:p w14:paraId="4C4E2ECC" w14:textId="77777777" w:rsidR="0036059E" w:rsidRDefault="00C52A2A">
      <w:pPr>
        <w:rPr>
          <w:b/>
        </w:rPr>
      </w:pPr>
      <w:r>
        <w:br w:type="page"/>
      </w:r>
    </w:p>
    <w:p w14:paraId="6E66205F" w14:textId="77777777" w:rsidR="0036059E" w:rsidRDefault="00C52A2A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</w:rPr>
      </w:pPr>
      <w:r>
        <w:rPr>
          <w:b/>
          <w:color w:val="000000"/>
        </w:rPr>
        <w:lastRenderedPageBreak/>
        <w:t>Table S4. Primer sequences used for SYBR Green qPCR.</w:t>
      </w:r>
    </w:p>
    <w:tbl>
      <w:tblPr>
        <w:tblStyle w:val="a2"/>
        <w:tblW w:w="7195" w:type="dxa"/>
        <w:tblLayout w:type="fixed"/>
        <w:tblLook w:val="0400" w:firstRow="0" w:lastRow="0" w:firstColumn="0" w:lastColumn="0" w:noHBand="0" w:noVBand="1"/>
      </w:tblPr>
      <w:tblGrid>
        <w:gridCol w:w="1885"/>
        <w:gridCol w:w="5310"/>
      </w:tblGrid>
      <w:tr w:rsidR="0036059E" w14:paraId="62BB08F5" w14:textId="77777777">
        <w:trPr>
          <w:trHeight w:val="288"/>
        </w:trPr>
        <w:tc>
          <w:tcPr>
            <w:tcW w:w="1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EF4DBAA" w14:textId="77777777" w:rsidR="0036059E" w:rsidRDefault="00C52A2A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Human Gene</w:t>
            </w:r>
          </w:p>
        </w:tc>
        <w:tc>
          <w:tcPr>
            <w:tcW w:w="531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29BEC09" w14:textId="77777777" w:rsidR="0036059E" w:rsidRDefault="00776E44">
            <w:pPr>
              <w:rPr>
                <w:b/>
                <w:color w:val="000000"/>
              </w:rPr>
            </w:pPr>
            <w:sdt>
              <w:sdtPr>
                <w:tag w:val="goog_rdk_0"/>
                <w:id w:val="1245463692"/>
              </w:sdtPr>
              <w:sdtEndPr/>
              <w:sdtContent>
                <w:r w:rsidR="00C52A2A">
                  <w:rPr>
                    <w:rFonts w:ascii="Cardo" w:eastAsia="Cardo" w:hAnsi="Cardo" w:cs="Cardo"/>
                    <w:b/>
                    <w:color w:val="000000"/>
                  </w:rPr>
                  <w:t>Primer sequence (5' → 3')</w:t>
                </w:r>
              </w:sdtContent>
            </w:sdt>
          </w:p>
        </w:tc>
      </w:tr>
      <w:tr w:rsidR="0036059E" w14:paraId="248DDD1A" w14:textId="77777777">
        <w:trPr>
          <w:trHeight w:val="288"/>
        </w:trPr>
        <w:tc>
          <w:tcPr>
            <w:tcW w:w="1885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C538A3A" w14:textId="77777777" w:rsidR="0036059E" w:rsidRDefault="00C52A2A">
            <w:pPr>
              <w:jc w:val="center"/>
              <w:rPr>
                <w:i/>
                <w:color w:val="000000"/>
              </w:rPr>
            </w:pPr>
            <w:r>
              <w:rPr>
                <w:i/>
                <w:color w:val="000000"/>
              </w:rPr>
              <w:t>IFNB</w:t>
            </w:r>
          </w:p>
        </w:tc>
        <w:tc>
          <w:tcPr>
            <w:tcW w:w="53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BEAAA22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 xml:space="preserve">F - GTCAGAGTGGAAATCCTAAG </w:t>
            </w:r>
          </w:p>
        </w:tc>
      </w:tr>
      <w:tr w:rsidR="0036059E" w14:paraId="09248129" w14:textId="77777777">
        <w:trPr>
          <w:trHeight w:val="288"/>
        </w:trPr>
        <w:tc>
          <w:tcPr>
            <w:tcW w:w="188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16806EF" w14:textId="77777777" w:rsidR="0036059E" w:rsidRDefault="003605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  <w:tc>
          <w:tcPr>
            <w:tcW w:w="53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EDEEC85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R - ACAGCATCTGCTGGTTGAAG</w:t>
            </w:r>
          </w:p>
        </w:tc>
      </w:tr>
      <w:tr w:rsidR="0036059E" w14:paraId="542E8845" w14:textId="77777777">
        <w:trPr>
          <w:trHeight w:val="288"/>
        </w:trPr>
        <w:tc>
          <w:tcPr>
            <w:tcW w:w="1885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87BC960" w14:textId="77777777" w:rsidR="0036059E" w:rsidRDefault="00C52A2A">
            <w:pPr>
              <w:jc w:val="center"/>
              <w:rPr>
                <w:i/>
                <w:color w:val="000000"/>
              </w:rPr>
            </w:pPr>
            <w:r>
              <w:rPr>
                <w:i/>
                <w:color w:val="000000"/>
              </w:rPr>
              <w:t>IL1B</w:t>
            </w:r>
          </w:p>
        </w:tc>
        <w:tc>
          <w:tcPr>
            <w:tcW w:w="53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FE94CA8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F - TGCACGCTCCGGGACTCACA</w:t>
            </w:r>
          </w:p>
        </w:tc>
      </w:tr>
      <w:tr w:rsidR="0036059E" w14:paraId="094E69FA" w14:textId="77777777">
        <w:trPr>
          <w:trHeight w:val="288"/>
        </w:trPr>
        <w:tc>
          <w:tcPr>
            <w:tcW w:w="188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82EA499" w14:textId="77777777" w:rsidR="0036059E" w:rsidRDefault="003605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  <w:tc>
          <w:tcPr>
            <w:tcW w:w="53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06D39C7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R - CATGGAGAACACCACTTGTTGCTCC</w:t>
            </w:r>
          </w:p>
        </w:tc>
      </w:tr>
      <w:tr w:rsidR="0036059E" w14:paraId="6CCAA930" w14:textId="77777777">
        <w:trPr>
          <w:trHeight w:val="288"/>
        </w:trPr>
        <w:tc>
          <w:tcPr>
            <w:tcW w:w="1885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04457C4" w14:textId="77777777" w:rsidR="0036059E" w:rsidRDefault="00C52A2A">
            <w:pPr>
              <w:jc w:val="center"/>
              <w:rPr>
                <w:i/>
                <w:color w:val="000000"/>
              </w:rPr>
            </w:pPr>
            <w:r>
              <w:rPr>
                <w:i/>
                <w:color w:val="000000"/>
              </w:rPr>
              <w:t xml:space="preserve">IL6 </w:t>
            </w:r>
          </w:p>
        </w:tc>
        <w:tc>
          <w:tcPr>
            <w:tcW w:w="53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8E7B9AA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F - CCTTCCAAAGATGGCTGAAA</w:t>
            </w:r>
          </w:p>
        </w:tc>
      </w:tr>
      <w:tr w:rsidR="0036059E" w14:paraId="6A306A71" w14:textId="77777777">
        <w:trPr>
          <w:trHeight w:val="288"/>
        </w:trPr>
        <w:tc>
          <w:tcPr>
            <w:tcW w:w="188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5C98F26" w14:textId="77777777" w:rsidR="0036059E" w:rsidRDefault="003605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  <w:tc>
          <w:tcPr>
            <w:tcW w:w="53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0857043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R - TTTCACCAGGCAAGTCTCCT</w:t>
            </w:r>
          </w:p>
        </w:tc>
      </w:tr>
      <w:tr w:rsidR="0036059E" w14:paraId="79C38F8E" w14:textId="77777777">
        <w:trPr>
          <w:trHeight w:val="288"/>
        </w:trPr>
        <w:tc>
          <w:tcPr>
            <w:tcW w:w="1885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E70626A" w14:textId="77777777" w:rsidR="0036059E" w:rsidRDefault="00C52A2A">
            <w:pPr>
              <w:jc w:val="center"/>
              <w:rPr>
                <w:i/>
                <w:color w:val="000000"/>
              </w:rPr>
            </w:pPr>
            <w:r>
              <w:rPr>
                <w:i/>
                <w:color w:val="000000"/>
              </w:rPr>
              <w:t xml:space="preserve">GAPDH </w:t>
            </w:r>
          </w:p>
        </w:tc>
        <w:tc>
          <w:tcPr>
            <w:tcW w:w="53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87C75E5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F - GCATGGCCTTCGGTGTCC</w:t>
            </w:r>
          </w:p>
        </w:tc>
      </w:tr>
      <w:tr w:rsidR="0036059E" w14:paraId="5ABC8A72" w14:textId="77777777">
        <w:trPr>
          <w:trHeight w:val="288"/>
        </w:trPr>
        <w:tc>
          <w:tcPr>
            <w:tcW w:w="188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E6731B8" w14:textId="77777777" w:rsidR="0036059E" w:rsidRDefault="003605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  <w:tc>
          <w:tcPr>
            <w:tcW w:w="53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7EB58DB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R - AATGCCAGCCCCAGCGTCAAA</w:t>
            </w:r>
          </w:p>
        </w:tc>
      </w:tr>
      <w:tr w:rsidR="0036059E" w14:paraId="2651C913" w14:textId="77777777">
        <w:trPr>
          <w:trHeight w:val="288"/>
        </w:trPr>
        <w:tc>
          <w:tcPr>
            <w:tcW w:w="1885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E181CCC" w14:textId="77777777" w:rsidR="0036059E" w:rsidRDefault="00C52A2A">
            <w:pPr>
              <w:jc w:val="center"/>
              <w:rPr>
                <w:i/>
                <w:color w:val="000000"/>
              </w:rPr>
            </w:pPr>
            <w:r>
              <w:rPr>
                <w:i/>
                <w:color w:val="000000"/>
              </w:rPr>
              <w:t>STAT1</w:t>
            </w:r>
          </w:p>
        </w:tc>
        <w:tc>
          <w:tcPr>
            <w:tcW w:w="53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E15685E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F - ATCAGGCTCAGTCGGGGAATA</w:t>
            </w:r>
          </w:p>
        </w:tc>
      </w:tr>
      <w:tr w:rsidR="0036059E" w14:paraId="5F01E9C5" w14:textId="77777777">
        <w:trPr>
          <w:trHeight w:val="288"/>
        </w:trPr>
        <w:tc>
          <w:tcPr>
            <w:tcW w:w="188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A9B9919" w14:textId="77777777" w:rsidR="0036059E" w:rsidRDefault="003605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  <w:tc>
          <w:tcPr>
            <w:tcW w:w="53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E4D1A97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R - TGGTCTCGTGTTCTCTGTTCT</w:t>
            </w:r>
          </w:p>
        </w:tc>
      </w:tr>
      <w:tr w:rsidR="0036059E" w14:paraId="2037B32C" w14:textId="77777777">
        <w:trPr>
          <w:trHeight w:val="288"/>
        </w:trPr>
        <w:tc>
          <w:tcPr>
            <w:tcW w:w="1885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7721F61" w14:textId="77777777" w:rsidR="0036059E" w:rsidRDefault="00C52A2A">
            <w:pPr>
              <w:jc w:val="center"/>
              <w:rPr>
                <w:i/>
                <w:color w:val="000000"/>
              </w:rPr>
            </w:pPr>
            <w:r>
              <w:rPr>
                <w:i/>
                <w:color w:val="000000"/>
              </w:rPr>
              <w:t>ISG15</w:t>
            </w:r>
          </w:p>
        </w:tc>
        <w:tc>
          <w:tcPr>
            <w:tcW w:w="53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02AACE6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F - CGCAGATCACCCAGAAGATCG</w:t>
            </w:r>
          </w:p>
        </w:tc>
      </w:tr>
      <w:tr w:rsidR="0036059E" w14:paraId="13A47F9C" w14:textId="77777777">
        <w:trPr>
          <w:trHeight w:val="288"/>
        </w:trPr>
        <w:tc>
          <w:tcPr>
            <w:tcW w:w="188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3E15AA1" w14:textId="77777777" w:rsidR="0036059E" w:rsidRDefault="003605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  <w:tc>
          <w:tcPr>
            <w:tcW w:w="53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75E9C71" w14:textId="77777777" w:rsidR="0036059E" w:rsidRDefault="00C52A2A">
            <w:pPr>
              <w:rPr>
                <w:color w:val="000000"/>
              </w:rPr>
            </w:pPr>
            <w:r>
              <w:rPr>
                <w:color w:val="000000"/>
              </w:rPr>
              <w:t>R - TTCGTCGCATTTGTCCACCA</w:t>
            </w:r>
          </w:p>
        </w:tc>
      </w:tr>
    </w:tbl>
    <w:p w14:paraId="28C02E02" w14:textId="77777777" w:rsidR="0036059E" w:rsidRDefault="0036059E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</w:rPr>
      </w:pPr>
    </w:p>
    <w:p w14:paraId="6FB1CE40" w14:textId="77777777" w:rsidR="0036059E" w:rsidRDefault="0036059E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</w:rPr>
      </w:pPr>
    </w:p>
    <w:sectPr w:rsidR="0036059E">
      <w:headerReference w:type="default" r:id="rId14"/>
      <w:footerReference w:type="default" r:id="rId15"/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0D3A9D0" w14:textId="77777777" w:rsidR="00776E44" w:rsidRDefault="00776E44">
      <w:r>
        <w:separator/>
      </w:r>
    </w:p>
  </w:endnote>
  <w:endnote w:type="continuationSeparator" w:id="0">
    <w:p w14:paraId="5399056B" w14:textId="77777777" w:rsidR="00776E44" w:rsidRDefault="00776E4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">
    <w:altName w:val="Times"/>
    <w:panose1 w:val="02000500000000000000"/>
    <w:charset w:val="00"/>
    <w:family w:val="auto"/>
    <w:pitch w:val="variable"/>
    <w:sig w:usb0="E00002FF" w:usb1="5000205A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rdo">
    <w:altName w:val="Calibri"/>
    <w:panose1 w:val="020B0604020202020204"/>
    <w:charset w:val="00"/>
    <w:family w:val="auto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1316407" w14:textId="77777777" w:rsidR="0036059E" w:rsidRDefault="00C52A2A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noProof/>
        <w:color w:val="000000"/>
      </w:rPr>
      <w:t>1</w:t>
    </w:r>
    <w:r>
      <w:rPr>
        <w:color w:val="000000"/>
      </w:rPr>
      <w:fldChar w:fldCharType="end"/>
    </w:r>
  </w:p>
  <w:p w14:paraId="6ED74A57" w14:textId="77777777" w:rsidR="0036059E" w:rsidRDefault="0036059E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AB5BFF0" w14:textId="77777777" w:rsidR="00776E44" w:rsidRDefault="00776E44">
      <w:r>
        <w:separator/>
      </w:r>
    </w:p>
  </w:footnote>
  <w:footnote w:type="continuationSeparator" w:id="0">
    <w:p w14:paraId="46851440" w14:textId="77777777" w:rsidR="00776E44" w:rsidRDefault="00776E4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2F655EB" w14:textId="77777777" w:rsidR="0036059E" w:rsidRDefault="0036059E">
    <w:pPr>
      <w:jc w:val="right"/>
      <w:rPr>
        <w:sz w:val="20"/>
        <w:szCs w:val="20"/>
      </w:rPr>
    </w:pPr>
  </w:p>
  <w:p w14:paraId="1F4AFF66" w14:textId="77777777" w:rsidR="0036059E" w:rsidRDefault="0036059E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C3B0476"/>
    <w:multiLevelType w:val="multilevel"/>
    <w:tmpl w:val="86005226"/>
    <w:lvl w:ilvl="0">
      <w:start w:val="1"/>
      <w:numFmt w:val="decimal"/>
      <w:pStyle w:val="ListBullet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70"/>
  <w:proofState w:spelling="clean" w:grammar="clean"/>
  <w:trackRevision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6059E"/>
    <w:rsid w:val="001B7C44"/>
    <w:rsid w:val="002056FE"/>
    <w:rsid w:val="0036059E"/>
    <w:rsid w:val="003F34B2"/>
    <w:rsid w:val="003F5F79"/>
    <w:rsid w:val="00456D85"/>
    <w:rsid w:val="004A7FF4"/>
    <w:rsid w:val="00584EE7"/>
    <w:rsid w:val="006C3891"/>
    <w:rsid w:val="00776E44"/>
    <w:rsid w:val="008B19C3"/>
    <w:rsid w:val="00C52A2A"/>
    <w:rsid w:val="00C56C9E"/>
    <w:rsid w:val="00C86437"/>
    <w:rsid w:val="00C92CCC"/>
    <w:rsid w:val="00CB7956"/>
    <w:rsid w:val="00E345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55E20257"/>
  <w15:docId w15:val="{C3B6BFE9-A797-1F4E-9942-569CE08BAA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630EA"/>
  </w:style>
  <w:style w:type="paragraph" w:styleId="Heading1">
    <w:name w:val="heading 1"/>
    <w:basedOn w:val="Normal"/>
    <w:next w:val="Normal"/>
    <w:link w:val="Heading1Char"/>
    <w:uiPriority w:val="9"/>
    <w:qFormat/>
    <w:rsid w:val="00B43B31"/>
    <w:pPr>
      <w:keepNext/>
      <w:spacing w:before="240" w:after="60"/>
      <w:outlineLvl w:val="0"/>
    </w:pPr>
    <w:rPr>
      <w:b/>
      <w:bCs/>
      <w:kern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7411A1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uiPriority w:val="9"/>
    <w:semiHidden/>
    <w:unhideWhenUsed/>
    <w:qFormat/>
    <w:rsid w:val="00C600D9"/>
    <w:pPr>
      <w:keepNext/>
      <w:spacing w:line="480" w:lineRule="auto"/>
      <w:outlineLvl w:val="2"/>
    </w:pPr>
    <w:rPr>
      <w:rFonts w:ascii="Times" w:eastAsia="Times" w:hAnsi="Times"/>
      <w:b/>
    </w:rPr>
  </w:style>
  <w:style w:type="paragraph" w:styleId="Heading4">
    <w:name w:val="heading 4"/>
    <w:basedOn w:val="Normal"/>
    <w:next w:val="Normal"/>
    <w:uiPriority w:val="9"/>
    <w:semiHidden/>
    <w:unhideWhenUsed/>
    <w:qFormat/>
    <w:rsid w:val="00C600D9"/>
    <w:pPr>
      <w:keepNext/>
      <w:spacing w:line="480" w:lineRule="auto"/>
      <w:outlineLvl w:val="3"/>
    </w:pPr>
    <w:rPr>
      <w:rFonts w:ascii="Times" w:hAnsi="Times"/>
      <w:b/>
      <w:color w:val="0000FF"/>
      <w:sz w:val="44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411A1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411A1"/>
    <w:pPr>
      <w:spacing w:before="240" w:after="60"/>
      <w:outlineLvl w:val="5"/>
    </w:pPr>
    <w:rPr>
      <w:rFonts w:ascii="Calibri" w:hAnsi="Calibri"/>
      <w:b/>
      <w:bCs/>
      <w:sz w:val="22"/>
      <w:szCs w:val="22"/>
    </w:rPr>
  </w:style>
  <w:style w:type="paragraph" w:styleId="Heading7">
    <w:name w:val="heading 7"/>
    <w:basedOn w:val="Normal"/>
    <w:next w:val="Normal"/>
    <w:link w:val="Heading7Char"/>
    <w:semiHidden/>
    <w:qFormat/>
    <w:rsid w:val="007411A1"/>
    <w:pPr>
      <w:spacing w:before="240" w:after="60"/>
      <w:outlineLvl w:val="6"/>
    </w:pPr>
    <w:rPr>
      <w:rFonts w:ascii="Calibri" w:hAnsi="Calibri"/>
    </w:rPr>
  </w:style>
  <w:style w:type="paragraph" w:styleId="Heading8">
    <w:name w:val="heading 8"/>
    <w:basedOn w:val="Normal"/>
    <w:next w:val="Normal"/>
    <w:link w:val="Heading8Char"/>
    <w:semiHidden/>
    <w:qFormat/>
    <w:rsid w:val="007411A1"/>
    <w:pPr>
      <w:spacing w:before="240" w:after="60"/>
      <w:outlineLvl w:val="7"/>
    </w:pPr>
    <w:rPr>
      <w:rFonts w:ascii="Calibri" w:hAnsi="Calibri"/>
      <w:i/>
      <w:iCs/>
    </w:rPr>
  </w:style>
  <w:style w:type="paragraph" w:styleId="Heading9">
    <w:name w:val="heading 9"/>
    <w:basedOn w:val="Normal"/>
    <w:next w:val="Normal"/>
    <w:link w:val="Heading9Char"/>
    <w:semiHidden/>
    <w:qFormat/>
    <w:rsid w:val="007411A1"/>
    <w:pPr>
      <w:spacing w:before="240" w:after="60"/>
      <w:outlineLvl w:val="8"/>
    </w:pPr>
    <w:rPr>
      <w:rFonts w:ascii="Cambria" w:hAnsi="Cambria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405336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styleId="PageNumber">
    <w:name w:val="page number"/>
    <w:basedOn w:val="DefaultParagraphFont"/>
    <w:semiHidden/>
    <w:rsid w:val="00477182"/>
  </w:style>
  <w:style w:type="character" w:customStyle="1" w:styleId="Heading1Char">
    <w:name w:val="Heading 1 Char"/>
    <w:link w:val="Heading1"/>
    <w:semiHidden/>
    <w:rsid w:val="00FF04E3"/>
    <w:rPr>
      <w:b/>
      <w:bCs/>
      <w:kern w:val="32"/>
      <w:sz w:val="24"/>
      <w:szCs w:val="24"/>
    </w:rPr>
  </w:style>
  <w:style w:type="character" w:customStyle="1" w:styleId="Heading2Char">
    <w:name w:val="Heading 2 Char"/>
    <w:link w:val="Heading2"/>
    <w:semiHidden/>
    <w:rsid w:val="00FF04E3"/>
    <w:rPr>
      <w:rFonts w:ascii="Cambria" w:hAnsi="Cambria"/>
      <w:b/>
      <w:bCs/>
      <w:i/>
      <w:iCs/>
      <w:sz w:val="28"/>
      <w:szCs w:val="28"/>
    </w:rPr>
  </w:style>
  <w:style w:type="character" w:customStyle="1" w:styleId="Heading5Char">
    <w:name w:val="Heading 5 Char"/>
    <w:link w:val="Heading5"/>
    <w:semiHidden/>
    <w:rsid w:val="00FF04E3"/>
    <w:rPr>
      <w:rFonts w:ascii="Calibri" w:hAnsi="Calibri"/>
      <w:b/>
      <w:bCs/>
      <w:i/>
      <w:iCs/>
      <w:sz w:val="26"/>
      <w:szCs w:val="26"/>
    </w:rPr>
  </w:style>
  <w:style w:type="character" w:customStyle="1" w:styleId="Heading6Char">
    <w:name w:val="Heading 6 Char"/>
    <w:link w:val="Heading6"/>
    <w:semiHidden/>
    <w:rsid w:val="00FF04E3"/>
    <w:rPr>
      <w:rFonts w:ascii="Calibri" w:hAnsi="Calibri"/>
      <w:b/>
      <w:bCs/>
      <w:sz w:val="22"/>
      <w:szCs w:val="22"/>
    </w:rPr>
  </w:style>
  <w:style w:type="character" w:customStyle="1" w:styleId="Heading7Char">
    <w:name w:val="Heading 7 Char"/>
    <w:link w:val="Heading7"/>
    <w:semiHidden/>
    <w:rsid w:val="00FF04E3"/>
    <w:rPr>
      <w:rFonts w:ascii="Calibri" w:hAnsi="Calibri"/>
      <w:sz w:val="24"/>
      <w:szCs w:val="24"/>
    </w:rPr>
  </w:style>
  <w:style w:type="character" w:customStyle="1" w:styleId="Heading8Char">
    <w:name w:val="Heading 8 Char"/>
    <w:link w:val="Heading8"/>
    <w:semiHidden/>
    <w:rsid w:val="00FF04E3"/>
    <w:rPr>
      <w:rFonts w:ascii="Calibri" w:hAnsi="Calibri"/>
      <w:i/>
      <w:iCs/>
      <w:sz w:val="24"/>
      <w:szCs w:val="24"/>
    </w:rPr>
  </w:style>
  <w:style w:type="character" w:customStyle="1" w:styleId="Heading9Char">
    <w:name w:val="Heading 9 Char"/>
    <w:link w:val="Heading9"/>
    <w:semiHidden/>
    <w:rsid w:val="00FF04E3"/>
    <w:rPr>
      <w:rFonts w:ascii="Cambria" w:hAnsi="Cambria"/>
      <w:sz w:val="22"/>
      <w:szCs w:val="22"/>
    </w:rPr>
  </w:style>
  <w:style w:type="paragraph" w:customStyle="1" w:styleId="SMHeading">
    <w:name w:val="SM Heading"/>
    <w:basedOn w:val="Heading1"/>
    <w:qFormat/>
    <w:rsid w:val="00F74F95"/>
  </w:style>
  <w:style w:type="paragraph" w:customStyle="1" w:styleId="SMSubheading">
    <w:name w:val="SM Subheading"/>
    <w:basedOn w:val="Normal"/>
    <w:qFormat/>
    <w:rsid w:val="00B9440A"/>
    <w:rPr>
      <w:u w:val="words"/>
    </w:rPr>
  </w:style>
  <w:style w:type="paragraph" w:customStyle="1" w:styleId="SMText">
    <w:name w:val="SM Text"/>
    <w:basedOn w:val="Normal"/>
    <w:qFormat/>
    <w:rsid w:val="00B9440A"/>
    <w:pPr>
      <w:ind w:firstLine="480"/>
    </w:pPr>
  </w:style>
  <w:style w:type="paragraph" w:customStyle="1" w:styleId="SMcaption">
    <w:name w:val="SM caption"/>
    <w:basedOn w:val="SMText"/>
    <w:qFormat/>
    <w:rsid w:val="00B9440A"/>
    <w:pPr>
      <w:ind w:firstLine="0"/>
    </w:pPr>
  </w:style>
  <w:style w:type="paragraph" w:styleId="BalloonText">
    <w:name w:val="Balloon Text"/>
    <w:basedOn w:val="Normal"/>
    <w:link w:val="BalloonTextChar"/>
    <w:semiHidden/>
    <w:rsid w:val="0040533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semiHidden/>
    <w:rsid w:val="00FF04E3"/>
    <w:rPr>
      <w:rFonts w:ascii="Tahoma" w:hAnsi="Tahoma" w:cs="Tahoma"/>
      <w:sz w:val="16"/>
      <w:szCs w:val="16"/>
    </w:rPr>
  </w:style>
  <w:style w:type="paragraph" w:styleId="Bibliography">
    <w:name w:val="Bibliography"/>
    <w:basedOn w:val="Normal"/>
    <w:next w:val="Normal"/>
    <w:uiPriority w:val="37"/>
    <w:semiHidden/>
    <w:rsid w:val="00405336"/>
  </w:style>
  <w:style w:type="paragraph" w:styleId="BlockText">
    <w:name w:val="Block Text"/>
    <w:basedOn w:val="Normal"/>
    <w:semiHidden/>
    <w:rsid w:val="00405336"/>
    <w:pPr>
      <w:spacing w:after="120"/>
      <w:ind w:left="1440" w:right="1440"/>
    </w:pPr>
  </w:style>
  <w:style w:type="paragraph" w:styleId="BodyText">
    <w:name w:val="Body Text"/>
    <w:basedOn w:val="Normal"/>
    <w:link w:val="BodyTextChar"/>
    <w:semiHidden/>
    <w:rsid w:val="00405336"/>
    <w:pPr>
      <w:spacing w:after="120"/>
    </w:pPr>
  </w:style>
  <w:style w:type="character" w:customStyle="1" w:styleId="BodyTextChar">
    <w:name w:val="Body Text Char"/>
    <w:link w:val="BodyText"/>
    <w:semiHidden/>
    <w:rsid w:val="00FF04E3"/>
    <w:rPr>
      <w:sz w:val="24"/>
    </w:rPr>
  </w:style>
  <w:style w:type="paragraph" w:styleId="BodyText2">
    <w:name w:val="Body Text 2"/>
    <w:basedOn w:val="Normal"/>
    <w:link w:val="BodyText2Char"/>
    <w:semiHidden/>
    <w:rsid w:val="00405336"/>
    <w:pPr>
      <w:spacing w:after="120" w:line="480" w:lineRule="auto"/>
    </w:pPr>
  </w:style>
  <w:style w:type="character" w:customStyle="1" w:styleId="BodyText2Char">
    <w:name w:val="Body Text 2 Char"/>
    <w:link w:val="BodyText2"/>
    <w:semiHidden/>
    <w:rsid w:val="00FF04E3"/>
    <w:rPr>
      <w:sz w:val="24"/>
    </w:rPr>
  </w:style>
  <w:style w:type="paragraph" w:styleId="BodyText3">
    <w:name w:val="Body Text 3"/>
    <w:basedOn w:val="Normal"/>
    <w:link w:val="BodyText3Char"/>
    <w:semiHidden/>
    <w:rsid w:val="00405336"/>
    <w:pPr>
      <w:spacing w:after="120"/>
    </w:pPr>
    <w:rPr>
      <w:sz w:val="16"/>
      <w:szCs w:val="16"/>
    </w:rPr>
  </w:style>
  <w:style w:type="character" w:customStyle="1" w:styleId="BodyText3Char">
    <w:name w:val="Body Text 3 Char"/>
    <w:link w:val="BodyText3"/>
    <w:semiHidden/>
    <w:rsid w:val="00FF04E3"/>
    <w:rPr>
      <w:sz w:val="16"/>
      <w:szCs w:val="16"/>
    </w:rPr>
  </w:style>
  <w:style w:type="paragraph" w:styleId="BodyTextFirstIndent">
    <w:name w:val="Body Text First Indent"/>
    <w:basedOn w:val="BodyText"/>
    <w:link w:val="BodyTextFirstIndentChar"/>
    <w:semiHidden/>
    <w:rsid w:val="00405336"/>
    <w:pPr>
      <w:ind w:firstLine="210"/>
    </w:pPr>
  </w:style>
  <w:style w:type="character" w:customStyle="1" w:styleId="BodyTextFirstIndentChar">
    <w:name w:val="Body Text First Indent Char"/>
    <w:link w:val="BodyTextFirstIndent"/>
    <w:semiHidden/>
    <w:rsid w:val="00FF04E3"/>
    <w:rPr>
      <w:sz w:val="24"/>
    </w:rPr>
  </w:style>
  <w:style w:type="paragraph" w:styleId="BodyTextIndent">
    <w:name w:val="Body Text Indent"/>
    <w:basedOn w:val="Normal"/>
    <w:link w:val="BodyTextIndentChar"/>
    <w:semiHidden/>
    <w:rsid w:val="00405336"/>
    <w:pPr>
      <w:spacing w:after="120"/>
      <w:ind w:left="360"/>
    </w:pPr>
  </w:style>
  <w:style w:type="character" w:customStyle="1" w:styleId="BodyTextIndentChar">
    <w:name w:val="Body Text Indent Char"/>
    <w:link w:val="BodyTextIndent"/>
    <w:semiHidden/>
    <w:rsid w:val="00FF04E3"/>
    <w:rPr>
      <w:sz w:val="24"/>
    </w:rPr>
  </w:style>
  <w:style w:type="paragraph" w:styleId="BodyTextFirstIndent2">
    <w:name w:val="Body Text First Indent 2"/>
    <w:basedOn w:val="BodyTextIndent"/>
    <w:link w:val="BodyTextFirstIndent2Char"/>
    <w:semiHidden/>
    <w:rsid w:val="00405336"/>
    <w:pPr>
      <w:ind w:firstLine="210"/>
    </w:pPr>
  </w:style>
  <w:style w:type="character" w:customStyle="1" w:styleId="BodyTextFirstIndent2Char">
    <w:name w:val="Body Text First Indent 2 Char"/>
    <w:link w:val="BodyTextFirstIndent2"/>
    <w:semiHidden/>
    <w:rsid w:val="00FF04E3"/>
    <w:rPr>
      <w:sz w:val="24"/>
    </w:rPr>
  </w:style>
  <w:style w:type="paragraph" w:styleId="BodyTextIndent2">
    <w:name w:val="Body Text Indent 2"/>
    <w:basedOn w:val="Normal"/>
    <w:link w:val="BodyTextIndent2Char"/>
    <w:semiHidden/>
    <w:rsid w:val="00405336"/>
    <w:pPr>
      <w:spacing w:after="120" w:line="480" w:lineRule="auto"/>
      <w:ind w:left="360"/>
    </w:pPr>
  </w:style>
  <w:style w:type="character" w:customStyle="1" w:styleId="BodyTextIndent2Char">
    <w:name w:val="Body Text Indent 2 Char"/>
    <w:link w:val="BodyTextIndent2"/>
    <w:semiHidden/>
    <w:rsid w:val="00FF04E3"/>
    <w:rPr>
      <w:sz w:val="24"/>
    </w:rPr>
  </w:style>
  <w:style w:type="paragraph" w:styleId="BodyTextIndent3">
    <w:name w:val="Body Text Indent 3"/>
    <w:basedOn w:val="Normal"/>
    <w:link w:val="BodyTextIndent3Char"/>
    <w:semiHidden/>
    <w:rsid w:val="00405336"/>
    <w:pPr>
      <w:spacing w:after="120"/>
      <w:ind w:left="360"/>
    </w:pPr>
    <w:rPr>
      <w:sz w:val="16"/>
      <w:szCs w:val="16"/>
    </w:rPr>
  </w:style>
  <w:style w:type="character" w:customStyle="1" w:styleId="BodyTextIndent3Char">
    <w:name w:val="Body Text Indent 3 Char"/>
    <w:link w:val="BodyTextIndent3"/>
    <w:semiHidden/>
    <w:rsid w:val="00FF04E3"/>
    <w:rPr>
      <w:sz w:val="16"/>
      <w:szCs w:val="16"/>
    </w:rPr>
  </w:style>
  <w:style w:type="paragraph" w:styleId="Caption">
    <w:name w:val="caption"/>
    <w:basedOn w:val="Normal"/>
    <w:next w:val="Normal"/>
    <w:semiHidden/>
    <w:qFormat/>
    <w:rsid w:val="00405336"/>
    <w:rPr>
      <w:b/>
      <w:bCs/>
      <w:sz w:val="20"/>
    </w:rPr>
  </w:style>
  <w:style w:type="paragraph" w:styleId="Closing">
    <w:name w:val="Closing"/>
    <w:basedOn w:val="Normal"/>
    <w:link w:val="ClosingChar"/>
    <w:semiHidden/>
    <w:rsid w:val="00405336"/>
    <w:pPr>
      <w:ind w:left="4320"/>
    </w:pPr>
  </w:style>
  <w:style w:type="character" w:customStyle="1" w:styleId="ClosingChar">
    <w:name w:val="Closing Char"/>
    <w:link w:val="Closing"/>
    <w:semiHidden/>
    <w:rsid w:val="00FF04E3"/>
    <w:rPr>
      <w:sz w:val="24"/>
    </w:rPr>
  </w:style>
  <w:style w:type="paragraph" w:styleId="CommentText">
    <w:name w:val="annotation text"/>
    <w:basedOn w:val="Normal"/>
    <w:link w:val="CommentTextChar"/>
    <w:semiHidden/>
    <w:rsid w:val="00405336"/>
    <w:rPr>
      <w:sz w:val="20"/>
    </w:rPr>
  </w:style>
  <w:style w:type="character" w:customStyle="1" w:styleId="CommentTextChar">
    <w:name w:val="Comment Text Char"/>
    <w:basedOn w:val="DefaultParagraphFont"/>
    <w:link w:val="CommentText"/>
    <w:semiHidden/>
    <w:rsid w:val="00FF04E3"/>
  </w:style>
  <w:style w:type="paragraph" w:styleId="CommentSubject">
    <w:name w:val="annotation subject"/>
    <w:basedOn w:val="CommentText"/>
    <w:next w:val="CommentText"/>
    <w:link w:val="CommentSubjectChar"/>
    <w:semiHidden/>
    <w:rsid w:val="00405336"/>
    <w:rPr>
      <w:b/>
      <w:bCs/>
    </w:rPr>
  </w:style>
  <w:style w:type="character" w:customStyle="1" w:styleId="CommentSubjectChar">
    <w:name w:val="Comment Subject Char"/>
    <w:link w:val="CommentSubject"/>
    <w:semiHidden/>
    <w:rsid w:val="00FF04E3"/>
    <w:rPr>
      <w:b/>
      <w:bCs/>
    </w:rPr>
  </w:style>
  <w:style w:type="paragraph" w:styleId="Date">
    <w:name w:val="Date"/>
    <w:basedOn w:val="Normal"/>
    <w:next w:val="Normal"/>
    <w:link w:val="DateChar"/>
    <w:semiHidden/>
    <w:rsid w:val="00405336"/>
  </w:style>
  <w:style w:type="character" w:customStyle="1" w:styleId="DateChar">
    <w:name w:val="Date Char"/>
    <w:link w:val="Date"/>
    <w:semiHidden/>
    <w:rsid w:val="00FF04E3"/>
    <w:rPr>
      <w:sz w:val="24"/>
    </w:rPr>
  </w:style>
  <w:style w:type="paragraph" w:styleId="DocumentMap">
    <w:name w:val="Document Map"/>
    <w:basedOn w:val="Normal"/>
    <w:link w:val="DocumentMapChar"/>
    <w:semiHidden/>
    <w:rsid w:val="00405336"/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link w:val="DocumentMap"/>
    <w:semiHidden/>
    <w:rsid w:val="00FF04E3"/>
    <w:rPr>
      <w:rFonts w:ascii="Tahoma" w:hAnsi="Tahoma" w:cs="Tahoma"/>
      <w:sz w:val="16"/>
      <w:szCs w:val="16"/>
    </w:rPr>
  </w:style>
  <w:style w:type="paragraph" w:styleId="E-mailSignature">
    <w:name w:val="E-mail Signature"/>
    <w:basedOn w:val="Normal"/>
    <w:link w:val="E-mailSignatureChar"/>
    <w:semiHidden/>
    <w:rsid w:val="00405336"/>
  </w:style>
  <w:style w:type="character" w:customStyle="1" w:styleId="E-mailSignatureChar">
    <w:name w:val="E-mail Signature Char"/>
    <w:link w:val="E-mailSignature"/>
    <w:semiHidden/>
    <w:rsid w:val="00FF04E3"/>
    <w:rPr>
      <w:sz w:val="24"/>
    </w:rPr>
  </w:style>
  <w:style w:type="paragraph" w:styleId="EndnoteText">
    <w:name w:val="endnote text"/>
    <w:basedOn w:val="Normal"/>
    <w:link w:val="EndnoteTextChar"/>
    <w:semiHidden/>
    <w:rsid w:val="00405336"/>
    <w:rPr>
      <w:sz w:val="20"/>
    </w:rPr>
  </w:style>
  <w:style w:type="character" w:customStyle="1" w:styleId="EndnoteTextChar">
    <w:name w:val="Endnote Text Char"/>
    <w:basedOn w:val="DefaultParagraphFont"/>
    <w:link w:val="EndnoteText"/>
    <w:semiHidden/>
    <w:rsid w:val="00FF04E3"/>
  </w:style>
  <w:style w:type="paragraph" w:styleId="EnvelopeAddress">
    <w:name w:val="envelope address"/>
    <w:basedOn w:val="Normal"/>
    <w:semiHidden/>
    <w:rsid w:val="00405336"/>
    <w:pPr>
      <w:framePr w:w="7920" w:h="1980" w:hRule="exact" w:hSpace="180" w:wrap="auto" w:hAnchor="page" w:xAlign="center" w:yAlign="bottom"/>
      <w:ind w:left="2880"/>
    </w:pPr>
    <w:rPr>
      <w:rFonts w:ascii="Cambria" w:hAnsi="Cambria"/>
    </w:rPr>
  </w:style>
  <w:style w:type="paragraph" w:styleId="EnvelopeReturn">
    <w:name w:val="envelope return"/>
    <w:basedOn w:val="Normal"/>
    <w:semiHidden/>
    <w:rsid w:val="00405336"/>
    <w:rPr>
      <w:rFonts w:ascii="Cambria" w:hAnsi="Cambria"/>
      <w:sz w:val="20"/>
    </w:rPr>
  </w:style>
  <w:style w:type="paragraph" w:styleId="Footer">
    <w:name w:val="footer"/>
    <w:basedOn w:val="Normal"/>
    <w:link w:val="FooterChar"/>
    <w:semiHidden/>
    <w:rsid w:val="00405336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semiHidden/>
    <w:rsid w:val="00FF04E3"/>
    <w:rPr>
      <w:sz w:val="24"/>
    </w:rPr>
  </w:style>
  <w:style w:type="paragraph" w:styleId="FootnoteText">
    <w:name w:val="footnote text"/>
    <w:basedOn w:val="Normal"/>
    <w:link w:val="FootnoteTextChar"/>
    <w:semiHidden/>
    <w:rsid w:val="00405336"/>
    <w:rPr>
      <w:sz w:val="20"/>
    </w:rPr>
  </w:style>
  <w:style w:type="character" w:customStyle="1" w:styleId="FootnoteTextChar">
    <w:name w:val="Footnote Text Char"/>
    <w:basedOn w:val="DefaultParagraphFont"/>
    <w:link w:val="FootnoteText"/>
    <w:semiHidden/>
    <w:rsid w:val="00FF04E3"/>
  </w:style>
  <w:style w:type="paragraph" w:styleId="Header">
    <w:name w:val="header"/>
    <w:basedOn w:val="Normal"/>
    <w:link w:val="HeaderChar"/>
    <w:semiHidden/>
    <w:rsid w:val="00405336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semiHidden/>
    <w:rsid w:val="00FF04E3"/>
    <w:rPr>
      <w:sz w:val="24"/>
    </w:rPr>
  </w:style>
  <w:style w:type="paragraph" w:styleId="HTMLAddress">
    <w:name w:val="HTML Address"/>
    <w:basedOn w:val="Normal"/>
    <w:link w:val="HTMLAddressChar"/>
    <w:semiHidden/>
    <w:rsid w:val="00405336"/>
    <w:rPr>
      <w:i/>
      <w:iCs/>
    </w:rPr>
  </w:style>
  <w:style w:type="character" w:customStyle="1" w:styleId="HTMLAddressChar">
    <w:name w:val="HTML Address Char"/>
    <w:link w:val="HTMLAddress"/>
    <w:semiHidden/>
    <w:rsid w:val="00FF04E3"/>
    <w:rPr>
      <w:i/>
      <w:iCs/>
      <w:sz w:val="24"/>
    </w:rPr>
  </w:style>
  <w:style w:type="paragraph" w:styleId="HTMLPreformatted">
    <w:name w:val="HTML Preformatted"/>
    <w:basedOn w:val="Normal"/>
    <w:link w:val="HTMLPreformattedChar"/>
    <w:semiHidden/>
    <w:rsid w:val="00405336"/>
    <w:rPr>
      <w:rFonts w:ascii="Courier New" w:hAnsi="Courier New" w:cs="Courier New"/>
      <w:sz w:val="20"/>
    </w:rPr>
  </w:style>
  <w:style w:type="character" w:customStyle="1" w:styleId="HTMLPreformattedChar">
    <w:name w:val="HTML Preformatted Char"/>
    <w:link w:val="HTMLPreformatted"/>
    <w:semiHidden/>
    <w:rsid w:val="00FF04E3"/>
    <w:rPr>
      <w:rFonts w:ascii="Courier New" w:hAnsi="Courier New" w:cs="Courier New"/>
    </w:rPr>
  </w:style>
  <w:style w:type="paragraph" w:styleId="Index1">
    <w:name w:val="index 1"/>
    <w:basedOn w:val="Normal"/>
    <w:next w:val="Normal"/>
    <w:autoRedefine/>
    <w:semiHidden/>
    <w:rsid w:val="00405336"/>
    <w:pPr>
      <w:ind w:left="240" w:hanging="240"/>
    </w:pPr>
  </w:style>
  <w:style w:type="paragraph" w:styleId="Index2">
    <w:name w:val="index 2"/>
    <w:basedOn w:val="Normal"/>
    <w:next w:val="Normal"/>
    <w:autoRedefine/>
    <w:semiHidden/>
    <w:rsid w:val="00405336"/>
    <w:pPr>
      <w:ind w:left="480" w:hanging="240"/>
    </w:pPr>
  </w:style>
  <w:style w:type="paragraph" w:styleId="Index3">
    <w:name w:val="index 3"/>
    <w:basedOn w:val="Normal"/>
    <w:next w:val="Normal"/>
    <w:autoRedefine/>
    <w:semiHidden/>
    <w:rsid w:val="00405336"/>
    <w:pPr>
      <w:ind w:left="720" w:hanging="240"/>
    </w:pPr>
  </w:style>
  <w:style w:type="paragraph" w:styleId="Index4">
    <w:name w:val="index 4"/>
    <w:basedOn w:val="Normal"/>
    <w:next w:val="Normal"/>
    <w:autoRedefine/>
    <w:semiHidden/>
    <w:rsid w:val="00405336"/>
    <w:pPr>
      <w:ind w:left="960" w:hanging="240"/>
    </w:pPr>
  </w:style>
  <w:style w:type="paragraph" w:styleId="Index5">
    <w:name w:val="index 5"/>
    <w:basedOn w:val="Normal"/>
    <w:next w:val="Normal"/>
    <w:autoRedefine/>
    <w:semiHidden/>
    <w:rsid w:val="00405336"/>
    <w:pPr>
      <w:ind w:left="1200" w:hanging="240"/>
    </w:pPr>
  </w:style>
  <w:style w:type="paragraph" w:styleId="Index6">
    <w:name w:val="index 6"/>
    <w:basedOn w:val="Normal"/>
    <w:next w:val="Normal"/>
    <w:autoRedefine/>
    <w:semiHidden/>
    <w:rsid w:val="00405336"/>
    <w:pPr>
      <w:ind w:left="1440" w:hanging="240"/>
    </w:pPr>
  </w:style>
  <w:style w:type="paragraph" w:styleId="Index7">
    <w:name w:val="index 7"/>
    <w:basedOn w:val="Normal"/>
    <w:next w:val="Normal"/>
    <w:autoRedefine/>
    <w:semiHidden/>
    <w:rsid w:val="00405336"/>
    <w:pPr>
      <w:ind w:left="1680" w:hanging="240"/>
    </w:pPr>
  </w:style>
  <w:style w:type="paragraph" w:styleId="Index8">
    <w:name w:val="index 8"/>
    <w:basedOn w:val="Normal"/>
    <w:next w:val="Normal"/>
    <w:autoRedefine/>
    <w:semiHidden/>
    <w:rsid w:val="00405336"/>
    <w:pPr>
      <w:ind w:left="1920" w:hanging="240"/>
    </w:pPr>
  </w:style>
  <w:style w:type="paragraph" w:styleId="Index9">
    <w:name w:val="index 9"/>
    <w:basedOn w:val="Normal"/>
    <w:next w:val="Normal"/>
    <w:autoRedefine/>
    <w:semiHidden/>
    <w:rsid w:val="00405336"/>
    <w:pPr>
      <w:ind w:left="2160" w:hanging="240"/>
    </w:pPr>
  </w:style>
  <w:style w:type="paragraph" w:styleId="IndexHeading">
    <w:name w:val="index heading"/>
    <w:basedOn w:val="Normal"/>
    <w:next w:val="Index1"/>
    <w:semiHidden/>
    <w:rsid w:val="00405336"/>
    <w:rPr>
      <w:rFonts w:ascii="Cambria" w:hAnsi="Cambria"/>
      <w:b/>
      <w:bCs/>
    </w:rPr>
  </w:style>
  <w:style w:type="paragraph" w:styleId="IntenseQuote">
    <w:name w:val="Intense Quote"/>
    <w:basedOn w:val="Normal"/>
    <w:next w:val="Normal"/>
    <w:link w:val="IntenseQuoteChar"/>
    <w:uiPriority w:val="30"/>
    <w:semiHidden/>
    <w:qFormat/>
    <w:rsid w:val="00405336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IntenseQuoteChar">
    <w:name w:val="Intense Quote Char"/>
    <w:link w:val="IntenseQuote"/>
    <w:uiPriority w:val="30"/>
    <w:semiHidden/>
    <w:rsid w:val="00FF04E3"/>
    <w:rPr>
      <w:b/>
      <w:bCs/>
      <w:i/>
      <w:iCs/>
      <w:color w:val="4F81BD"/>
      <w:sz w:val="24"/>
    </w:rPr>
  </w:style>
  <w:style w:type="paragraph" w:styleId="List">
    <w:name w:val="List"/>
    <w:basedOn w:val="Normal"/>
    <w:semiHidden/>
    <w:rsid w:val="00405336"/>
    <w:pPr>
      <w:ind w:left="360" w:hanging="360"/>
      <w:contextualSpacing/>
    </w:pPr>
  </w:style>
  <w:style w:type="paragraph" w:styleId="List2">
    <w:name w:val="List 2"/>
    <w:basedOn w:val="Normal"/>
    <w:semiHidden/>
    <w:rsid w:val="00405336"/>
    <w:pPr>
      <w:ind w:left="720" w:hanging="360"/>
      <w:contextualSpacing/>
    </w:pPr>
  </w:style>
  <w:style w:type="paragraph" w:styleId="List3">
    <w:name w:val="List 3"/>
    <w:basedOn w:val="Normal"/>
    <w:semiHidden/>
    <w:rsid w:val="00405336"/>
    <w:pPr>
      <w:ind w:left="1080" w:hanging="360"/>
      <w:contextualSpacing/>
    </w:pPr>
  </w:style>
  <w:style w:type="paragraph" w:styleId="List4">
    <w:name w:val="List 4"/>
    <w:basedOn w:val="Normal"/>
    <w:semiHidden/>
    <w:rsid w:val="00405336"/>
    <w:pPr>
      <w:ind w:left="1440" w:hanging="360"/>
      <w:contextualSpacing/>
    </w:pPr>
  </w:style>
  <w:style w:type="paragraph" w:styleId="List5">
    <w:name w:val="List 5"/>
    <w:basedOn w:val="Normal"/>
    <w:semiHidden/>
    <w:rsid w:val="00405336"/>
    <w:pPr>
      <w:ind w:left="1800" w:hanging="360"/>
      <w:contextualSpacing/>
    </w:pPr>
  </w:style>
  <w:style w:type="paragraph" w:styleId="ListBullet">
    <w:name w:val="List Bullet"/>
    <w:basedOn w:val="Normal"/>
    <w:semiHidden/>
    <w:rsid w:val="00405336"/>
    <w:pPr>
      <w:numPr>
        <w:numId w:val="1"/>
      </w:numPr>
      <w:contextualSpacing/>
    </w:pPr>
  </w:style>
  <w:style w:type="paragraph" w:styleId="ListBullet2">
    <w:name w:val="List Bullet 2"/>
    <w:basedOn w:val="Normal"/>
    <w:semiHidden/>
    <w:rsid w:val="00405336"/>
    <w:pPr>
      <w:tabs>
        <w:tab w:val="num" w:pos="720"/>
      </w:tabs>
      <w:ind w:left="720" w:hanging="720"/>
      <w:contextualSpacing/>
    </w:pPr>
  </w:style>
  <w:style w:type="paragraph" w:styleId="ListBullet3">
    <w:name w:val="List Bullet 3"/>
    <w:basedOn w:val="Normal"/>
    <w:semiHidden/>
    <w:rsid w:val="00405336"/>
    <w:pPr>
      <w:tabs>
        <w:tab w:val="num" w:pos="720"/>
      </w:tabs>
      <w:ind w:left="720" w:hanging="720"/>
      <w:contextualSpacing/>
    </w:pPr>
  </w:style>
  <w:style w:type="paragraph" w:styleId="ListBullet4">
    <w:name w:val="List Bullet 4"/>
    <w:basedOn w:val="Normal"/>
    <w:semiHidden/>
    <w:rsid w:val="00405336"/>
    <w:pPr>
      <w:tabs>
        <w:tab w:val="num" w:pos="720"/>
      </w:tabs>
      <w:ind w:left="720" w:hanging="720"/>
      <w:contextualSpacing/>
    </w:pPr>
  </w:style>
  <w:style w:type="paragraph" w:styleId="ListBullet5">
    <w:name w:val="List Bullet 5"/>
    <w:basedOn w:val="Normal"/>
    <w:semiHidden/>
    <w:rsid w:val="00405336"/>
    <w:pPr>
      <w:tabs>
        <w:tab w:val="num" w:pos="720"/>
      </w:tabs>
      <w:ind w:left="720" w:hanging="720"/>
      <w:contextualSpacing/>
    </w:pPr>
  </w:style>
  <w:style w:type="paragraph" w:styleId="ListContinue">
    <w:name w:val="List Continue"/>
    <w:basedOn w:val="Normal"/>
    <w:semiHidden/>
    <w:rsid w:val="00405336"/>
    <w:pPr>
      <w:spacing w:after="120"/>
      <w:ind w:left="360"/>
      <w:contextualSpacing/>
    </w:pPr>
  </w:style>
  <w:style w:type="paragraph" w:styleId="ListContinue2">
    <w:name w:val="List Continue 2"/>
    <w:basedOn w:val="Normal"/>
    <w:semiHidden/>
    <w:rsid w:val="00405336"/>
    <w:pPr>
      <w:spacing w:after="120"/>
      <w:ind w:left="720"/>
      <w:contextualSpacing/>
    </w:pPr>
  </w:style>
  <w:style w:type="paragraph" w:styleId="ListContinue3">
    <w:name w:val="List Continue 3"/>
    <w:basedOn w:val="Normal"/>
    <w:semiHidden/>
    <w:rsid w:val="00405336"/>
    <w:pPr>
      <w:spacing w:after="120"/>
      <w:ind w:left="1080"/>
      <w:contextualSpacing/>
    </w:pPr>
  </w:style>
  <w:style w:type="paragraph" w:styleId="ListContinue4">
    <w:name w:val="List Continue 4"/>
    <w:basedOn w:val="Normal"/>
    <w:semiHidden/>
    <w:rsid w:val="00405336"/>
    <w:pPr>
      <w:spacing w:after="120"/>
      <w:ind w:left="1440"/>
      <w:contextualSpacing/>
    </w:pPr>
  </w:style>
  <w:style w:type="paragraph" w:styleId="ListContinue5">
    <w:name w:val="List Continue 5"/>
    <w:basedOn w:val="Normal"/>
    <w:semiHidden/>
    <w:rsid w:val="00405336"/>
    <w:pPr>
      <w:spacing w:after="120"/>
      <w:ind w:left="1800"/>
      <w:contextualSpacing/>
    </w:pPr>
  </w:style>
  <w:style w:type="paragraph" w:styleId="ListNumber">
    <w:name w:val="List Number"/>
    <w:basedOn w:val="Normal"/>
    <w:semiHidden/>
    <w:rsid w:val="00405336"/>
    <w:pPr>
      <w:tabs>
        <w:tab w:val="num" w:pos="720"/>
      </w:tabs>
      <w:ind w:left="720" w:hanging="720"/>
      <w:contextualSpacing/>
    </w:pPr>
  </w:style>
  <w:style w:type="paragraph" w:styleId="ListNumber2">
    <w:name w:val="List Number 2"/>
    <w:basedOn w:val="Normal"/>
    <w:semiHidden/>
    <w:rsid w:val="00405336"/>
    <w:pPr>
      <w:tabs>
        <w:tab w:val="num" w:pos="720"/>
      </w:tabs>
      <w:ind w:left="720" w:hanging="720"/>
      <w:contextualSpacing/>
    </w:pPr>
  </w:style>
  <w:style w:type="paragraph" w:styleId="ListNumber3">
    <w:name w:val="List Number 3"/>
    <w:basedOn w:val="Normal"/>
    <w:semiHidden/>
    <w:rsid w:val="00405336"/>
    <w:pPr>
      <w:tabs>
        <w:tab w:val="num" w:pos="720"/>
      </w:tabs>
      <w:ind w:left="720" w:hanging="720"/>
      <w:contextualSpacing/>
    </w:pPr>
  </w:style>
  <w:style w:type="paragraph" w:styleId="ListNumber4">
    <w:name w:val="List Number 4"/>
    <w:basedOn w:val="Normal"/>
    <w:semiHidden/>
    <w:rsid w:val="00405336"/>
    <w:pPr>
      <w:tabs>
        <w:tab w:val="num" w:pos="720"/>
      </w:tabs>
      <w:ind w:left="720" w:hanging="720"/>
      <w:contextualSpacing/>
    </w:pPr>
  </w:style>
  <w:style w:type="paragraph" w:styleId="ListNumber5">
    <w:name w:val="List Number 5"/>
    <w:basedOn w:val="Normal"/>
    <w:semiHidden/>
    <w:rsid w:val="00405336"/>
    <w:pPr>
      <w:tabs>
        <w:tab w:val="num" w:pos="720"/>
      </w:tabs>
      <w:ind w:left="720" w:hanging="720"/>
      <w:contextualSpacing/>
    </w:pPr>
  </w:style>
  <w:style w:type="paragraph" w:styleId="ListParagraph">
    <w:name w:val="List Paragraph"/>
    <w:basedOn w:val="Normal"/>
    <w:uiPriority w:val="34"/>
    <w:semiHidden/>
    <w:qFormat/>
    <w:rsid w:val="00405336"/>
    <w:pPr>
      <w:ind w:left="720"/>
    </w:pPr>
  </w:style>
  <w:style w:type="paragraph" w:styleId="MacroText">
    <w:name w:val="macro"/>
    <w:link w:val="MacroTextChar"/>
    <w:semiHidden/>
    <w:rsid w:val="00405336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 w:cs="Courier New"/>
    </w:rPr>
  </w:style>
  <w:style w:type="character" w:customStyle="1" w:styleId="MacroTextChar">
    <w:name w:val="Macro Text Char"/>
    <w:link w:val="MacroText"/>
    <w:semiHidden/>
    <w:rsid w:val="00FF04E3"/>
    <w:rPr>
      <w:rFonts w:ascii="Courier New" w:hAnsi="Courier New" w:cs="Courier New"/>
      <w:lang w:val="en-US" w:eastAsia="en-US" w:bidi="ar-SA"/>
    </w:rPr>
  </w:style>
  <w:style w:type="paragraph" w:styleId="MessageHeader">
    <w:name w:val="Message Header"/>
    <w:basedOn w:val="Normal"/>
    <w:link w:val="MessageHeaderChar"/>
    <w:semiHidden/>
    <w:rsid w:val="0040533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080" w:hanging="1080"/>
    </w:pPr>
    <w:rPr>
      <w:rFonts w:ascii="Cambria" w:hAnsi="Cambria"/>
    </w:rPr>
  </w:style>
  <w:style w:type="character" w:customStyle="1" w:styleId="MessageHeaderChar">
    <w:name w:val="Message Header Char"/>
    <w:link w:val="MessageHeader"/>
    <w:semiHidden/>
    <w:rsid w:val="00FF04E3"/>
    <w:rPr>
      <w:rFonts w:ascii="Cambria" w:hAnsi="Cambria"/>
      <w:sz w:val="24"/>
      <w:szCs w:val="24"/>
      <w:shd w:val="pct20" w:color="auto" w:fill="auto"/>
    </w:rPr>
  </w:style>
  <w:style w:type="paragraph" w:styleId="NoSpacing">
    <w:name w:val="No Spacing"/>
    <w:uiPriority w:val="1"/>
    <w:semiHidden/>
    <w:qFormat/>
    <w:rsid w:val="00405336"/>
  </w:style>
  <w:style w:type="paragraph" w:styleId="NormalWeb">
    <w:name w:val="Normal (Web)"/>
    <w:basedOn w:val="Normal"/>
    <w:semiHidden/>
    <w:rsid w:val="00405336"/>
  </w:style>
  <w:style w:type="paragraph" w:styleId="NormalIndent">
    <w:name w:val="Normal Indent"/>
    <w:basedOn w:val="Normal"/>
    <w:semiHidden/>
    <w:rsid w:val="00405336"/>
    <w:pPr>
      <w:ind w:left="720"/>
    </w:pPr>
  </w:style>
  <w:style w:type="paragraph" w:styleId="NoteHeading">
    <w:name w:val="Note Heading"/>
    <w:basedOn w:val="Normal"/>
    <w:next w:val="Normal"/>
    <w:link w:val="NoteHeadingChar"/>
    <w:semiHidden/>
    <w:rsid w:val="00405336"/>
  </w:style>
  <w:style w:type="character" w:customStyle="1" w:styleId="NoteHeadingChar">
    <w:name w:val="Note Heading Char"/>
    <w:link w:val="NoteHeading"/>
    <w:semiHidden/>
    <w:rsid w:val="00FF04E3"/>
    <w:rPr>
      <w:sz w:val="24"/>
    </w:rPr>
  </w:style>
  <w:style w:type="paragraph" w:styleId="PlainText">
    <w:name w:val="Plain Text"/>
    <w:basedOn w:val="Normal"/>
    <w:link w:val="PlainTextChar"/>
    <w:semiHidden/>
    <w:rsid w:val="00405336"/>
    <w:rPr>
      <w:rFonts w:ascii="Courier New" w:hAnsi="Courier New" w:cs="Courier New"/>
      <w:sz w:val="20"/>
    </w:rPr>
  </w:style>
  <w:style w:type="character" w:customStyle="1" w:styleId="PlainTextChar">
    <w:name w:val="Plain Text Char"/>
    <w:link w:val="PlainText"/>
    <w:semiHidden/>
    <w:rsid w:val="00FF04E3"/>
    <w:rPr>
      <w:rFonts w:ascii="Courier New" w:hAnsi="Courier New" w:cs="Courier New"/>
    </w:rPr>
  </w:style>
  <w:style w:type="paragraph" w:styleId="Quote">
    <w:name w:val="Quote"/>
    <w:basedOn w:val="Normal"/>
    <w:next w:val="Normal"/>
    <w:link w:val="QuoteChar"/>
    <w:uiPriority w:val="29"/>
    <w:semiHidden/>
    <w:qFormat/>
    <w:rsid w:val="00405336"/>
    <w:rPr>
      <w:i/>
      <w:iCs/>
      <w:color w:val="000000"/>
    </w:rPr>
  </w:style>
  <w:style w:type="character" w:customStyle="1" w:styleId="QuoteChar">
    <w:name w:val="Quote Char"/>
    <w:link w:val="Quote"/>
    <w:uiPriority w:val="29"/>
    <w:semiHidden/>
    <w:rsid w:val="00FF04E3"/>
    <w:rPr>
      <w:i/>
      <w:iCs/>
      <w:color w:val="000000"/>
      <w:sz w:val="24"/>
    </w:rPr>
  </w:style>
  <w:style w:type="paragraph" w:styleId="Salutation">
    <w:name w:val="Salutation"/>
    <w:basedOn w:val="Normal"/>
    <w:next w:val="Normal"/>
    <w:link w:val="SalutationChar"/>
    <w:semiHidden/>
    <w:rsid w:val="00405336"/>
  </w:style>
  <w:style w:type="character" w:customStyle="1" w:styleId="SalutationChar">
    <w:name w:val="Salutation Char"/>
    <w:link w:val="Salutation"/>
    <w:semiHidden/>
    <w:rsid w:val="00FF04E3"/>
    <w:rPr>
      <w:sz w:val="24"/>
    </w:rPr>
  </w:style>
  <w:style w:type="paragraph" w:styleId="Signature">
    <w:name w:val="Signature"/>
    <w:basedOn w:val="Normal"/>
    <w:link w:val="SignatureChar"/>
    <w:semiHidden/>
    <w:rsid w:val="00405336"/>
    <w:pPr>
      <w:ind w:left="4320"/>
    </w:pPr>
  </w:style>
  <w:style w:type="character" w:customStyle="1" w:styleId="SignatureChar">
    <w:name w:val="Signature Char"/>
    <w:link w:val="Signature"/>
    <w:semiHidden/>
    <w:rsid w:val="00FF04E3"/>
    <w:rPr>
      <w:sz w:val="24"/>
    </w:rPr>
  </w:style>
  <w:style w:type="paragraph" w:styleId="Subtitle">
    <w:name w:val="Subtitle"/>
    <w:basedOn w:val="Normal"/>
    <w:next w:val="Normal"/>
    <w:link w:val="SubtitleChar"/>
    <w:uiPriority w:val="11"/>
    <w:qFormat/>
    <w:pPr>
      <w:spacing w:after="60"/>
      <w:jc w:val="center"/>
    </w:pPr>
    <w:rPr>
      <w:rFonts w:ascii="Cambria" w:eastAsia="Cambria" w:hAnsi="Cambria" w:cs="Cambria"/>
    </w:rPr>
  </w:style>
  <w:style w:type="character" w:customStyle="1" w:styleId="SubtitleChar">
    <w:name w:val="Subtitle Char"/>
    <w:link w:val="Subtitle"/>
    <w:semiHidden/>
    <w:rsid w:val="00FF04E3"/>
    <w:rPr>
      <w:rFonts w:ascii="Cambria" w:hAnsi="Cambria"/>
      <w:sz w:val="24"/>
      <w:szCs w:val="24"/>
    </w:rPr>
  </w:style>
  <w:style w:type="paragraph" w:styleId="TableofAuthorities">
    <w:name w:val="table of authorities"/>
    <w:basedOn w:val="Normal"/>
    <w:next w:val="Normal"/>
    <w:semiHidden/>
    <w:rsid w:val="00405336"/>
    <w:pPr>
      <w:ind w:left="240" w:hanging="240"/>
    </w:pPr>
  </w:style>
  <w:style w:type="paragraph" w:styleId="TableofFigures">
    <w:name w:val="table of figures"/>
    <w:basedOn w:val="Normal"/>
    <w:next w:val="Normal"/>
    <w:semiHidden/>
    <w:rsid w:val="00405336"/>
  </w:style>
  <w:style w:type="character" w:customStyle="1" w:styleId="TitleChar">
    <w:name w:val="Title Char"/>
    <w:link w:val="Title"/>
    <w:semiHidden/>
    <w:rsid w:val="00FF04E3"/>
    <w:rPr>
      <w:rFonts w:ascii="Cambria" w:hAnsi="Cambria"/>
      <w:b/>
      <w:bCs/>
      <w:kern w:val="28"/>
      <w:sz w:val="32"/>
      <w:szCs w:val="32"/>
    </w:rPr>
  </w:style>
  <w:style w:type="paragraph" w:styleId="TOAHeading">
    <w:name w:val="toa heading"/>
    <w:basedOn w:val="Normal"/>
    <w:next w:val="Normal"/>
    <w:semiHidden/>
    <w:rsid w:val="00405336"/>
    <w:pPr>
      <w:spacing w:before="120"/>
    </w:pPr>
    <w:rPr>
      <w:rFonts w:ascii="Cambria" w:hAnsi="Cambria"/>
      <w:b/>
      <w:bCs/>
    </w:rPr>
  </w:style>
  <w:style w:type="paragraph" w:styleId="TOC1">
    <w:name w:val="toc 1"/>
    <w:basedOn w:val="Normal"/>
    <w:next w:val="Normal"/>
    <w:autoRedefine/>
    <w:semiHidden/>
    <w:rsid w:val="00405336"/>
  </w:style>
  <w:style w:type="paragraph" w:styleId="TOC2">
    <w:name w:val="toc 2"/>
    <w:basedOn w:val="Normal"/>
    <w:next w:val="Normal"/>
    <w:autoRedefine/>
    <w:semiHidden/>
    <w:rsid w:val="00405336"/>
    <w:pPr>
      <w:ind w:left="240"/>
    </w:pPr>
  </w:style>
  <w:style w:type="paragraph" w:styleId="TOC3">
    <w:name w:val="toc 3"/>
    <w:basedOn w:val="Normal"/>
    <w:next w:val="Normal"/>
    <w:autoRedefine/>
    <w:semiHidden/>
    <w:rsid w:val="00405336"/>
    <w:pPr>
      <w:ind w:left="480"/>
    </w:pPr>
  </w:style>
  <w:style w:type="paragraph" w:styleId="TOC4">
    <w:name w:val="toc 4"/>
    <w:basedOn w:val="Normal"/>
    <w:next w:val="Normal"/>
    <w:autoRedefine/>
    <w:semiHidden/>
    <w:rsid w:val="00405336"/>
    <w:pPr>
      <w:ind w:left="720"/>
    </w:pPr>
  </w:style>
  <w:style w:type="paragraph" w:styleId="TOC5">
    <w:name w:val="toc 5"/>
    <w:basedOn w:val="Normal"/>
    <w:next w:val="Normal"/>
    <w:autoRedefine/>
    <w:semiHidden/>
    <w:rsid w:val="00405336"/>
    <w:pPr>
      <w:ind w:left="960"/>
    </w:pPr>
  </w:style>
  <w:style w:type="paragraph" w:styleId="TOC6">
    <w:name w:val="toc 6"/>
    <w:basedOn w:val="Normal"/>
    <w:next w:val="Normal"/>
    <w:autoRedefine/>
    <w:semiHidden/>
    <w:rsid w:val="00405336"/>
    <w:pPr>
      <w:ind w:left="1200"/>
    </w:pPr>
  </w:style>
  <w:style w:type="paragraph" w:styleId="TOC7">
    <w:name w:val="toc 7"/>
    <w:basedOn w:val="Normal"/>
    <w:next w:val="Normal"/>
    <w:autoRedefine/>
    <w:semiHidden/>
    <w:rsid w:val="00405336"/>
    <w:pPr>
      <w:ind w:left="1440"/>
    </w:pPr>
  </w:style>
  <w:style w:type="paragraph" w:styleId="TOC8">
    <w:name w:val="toc 8"/>
    <w:basedOn w:val="Normal"/>
    <w:next w:val="Normal"/>
    <w:autoRedefine/>
    <w:semiHidden/>
    <w:rsid w:val="00405336"/>
    <w:pPr>
      <w:ind w:left="1680"/>
    </w:pPr>
  </w:style>
  <w:style w:type="paragraph" w:styleId="TOC9">
    <w:name w:val="toc 9"/>
    <w:basedOn w:val="Normal"/>
    <w:next w:val="Normal"/>
    <w:autoRedefine/>
    <w:semiHidden/>
    <w:rsid w:val="00405336"/>
    <w:pPr>
      <w:ind w:left="1920"/>
    </w:p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405336"/>
    <w:pPr>
      <w:outlineLvl w:val="9"/>
    </w:pPr>
    <w:rPr>
      <w:rFonts w:ascii="Cambria" w:hAnsi="Cambria"/>
      <w:sz w:val="32"/>
      <w:szCs w:val="32"/>
    </w:rPr>
  </w:style>
  <w:style w:type="character" w:styleId="Hyperlink">
    <w:name w:val="Hyperlink"/>
    <w:semiHidden/>
    <w:rsid w:val="007402FC"/>
    <w:rPr>
      <w:color w:val="0000FF"/>
      <w:u w:val="single"/>
    </w:rPr>
  </w:style>
  <w:style w:type="character" w:styleId="FollowedHyperlink">
    <w:name w:val="FollowedHyperlink"/>
    <w:semiHidden/>
    <w:unhideWhenUsed/>
    <w:rsid w:val="00793072"/>
    <w:rPr>
      <w:color w:val="800080"/>
      <w:u w:val="single"/>
    </w:rPr>
  </w:style>
  <w:style w:type="character" w:styleId="CommentReference">
    <w:name w:val="annotation reference"/>
    <w:semiHidden/>
    <w:unhideWhenUsed/>
    <w:rsid w:val="00793072"/>
    <w:rPr>
      <w:sz w:val="16"/>
      <w:szCs w:val="16"/>
    </w:rPr>
  </w:style>
  <w:style w:type="character" w:styleId="UnresolvedMention">
    <w:name w:val="Unresolved Mention"/>
    <w:basedOn w:val="DefaultParagraphFont"/>
    <w:uiPriority w:val="99"/>
    <w:semiHidden/>
    <w:unhideWhenUsed/>
    <w:rsid w:val="008218C4"/>
    <w:rPr>
      <w:color w:val="808080"/>
      <w:shd w:val="clear" w:color="auto" w:fill="E6E6E6"/>
    </w:rPr>
  </w:style>
  <w:style w:type="paragraph" w:customStyle="1" w:styleId="PubInfo">
    <w:name w:val="PubInfo"/>
    <w:basedOn w:val="Normal"/>
    <w:qFormat/>
    <w:rsid w:val="00533910"/>
    <w:pPr>
      <w:suppressAutoHyphens/>
      <w:jc w:val="center"/>
    </w:pPr>
    <w:rPr>
      <w:sz w:val="20"/>
      <w:lang w:eastAsia="ar-SA"/>
    </w:rPr>
  </w:style>
  <w:style w:type="paragraph" w:customStyle="1" w:styleId="DoiInfo">
    <w:name w:val="DoiInfo"/>
    <w:basedOn w:val="Normal"/>
    <w:qFormat/>
    <w:rsid w:val="00533910"/>
    <w:pPr>
      <w:suppressAutoHyphens/>
      <w:jc w:val="center"/>
    </w:pPr>
    <w:rPr>
      <w:sz w:val="20"/>
      <w:lang w:eastAsia="ar-SA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about:blank" TargetMode="External"/><Relationship Id="rId13" Type="http://schemas.openxmlformats.org/officeDocument/2006/relationships/image" Target="media/image5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1">
  <go:docsCustomData xmlns:go="http://customooxmlschemas.google.com/" roundtripDataSignature="AMtx7miZ1N6ZTkIpwmLlniuS5LFE3Akk+g==">AMUW2mVvCIRRAhAuB77rVt1GchEtjWRACJrPWSrtgmxmCRN1AN6tZ9cYp9zNOjaK2Ak5Y6J7tpXgqRr5OvvOvgXb2TONUzJnMDYPG4nrU47EkWRjpy8NPnh9lHredxdR6/1gwd/O0hpvinCw5bKZDd/o+ia1ZxRnhPAyBqVeTMpED6dC6K/Mf+VBT4RslPlICUln0zyJUDGeWDQbjvU5jWMpNXPGzPIsKQ==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13</Pages>
  <Words>1376</Words>
  <Characters>7849</Characters>
  <Application>Microsoft Office Word</Application>
  <DocSecurity>0</DocSecurity>
  <Lines>65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Brooks Hanson</dc:creator>
  <cp:lastModifiedBy>Susana Gonzalo-Hervas</cp:lastModifiedBy>
  <cp:revision>2</cp:revision>
  <dcterms:created xsi:type="dcterms:W3CDTF">2023-05-31T15:24:00Z</dcterms:created>
  <dcterms:modified xsi:type="dcterms:W3CDTF">2023-05-31T15:24:00Z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0x0101000C8221A7F0343744B07CC2CED3D6F8EE</vt:lpwstr>
  </property>
</Properties>
</file>