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0CF0" w:rsidRDefault="00A80CF0" w:rsidP="00A80CF0">
      <w:pPr>
        <w:rPr>
          <w:rFonts w:cs="Times New Roman"/>
          <w:b/>
          <w:bCs/>
          <w:smallCaps/>
          <w:szCs w:val="24"/>
        </w:rPr>
      </w:pPr>
      <w:bookmarkStart w:id="0" w:name="_GoBack"/>
      <w:bookmarkEnd w:id="0"/>
    </w:p>
    <w:p w:rsidR="00A80CF0" w:rsidRPr="001214D6" w:rsidRDefault="00A80CF0" w:rsidP="00A80CF0">
      <w:pPr>
        <w:rPr>
          <w:rFonts w:cs="Times New Roman"/>
          <w:b/>
          <w:bCs/>
          <w:smallCaps/>
          <w:szCs w:val="24"/>
        </w:rPr>
      </w:pPr>
      <w:r w:rsidRPr="001214D6">
        <w:rPr>
          <w:rFonts w:cs="Times New Roman"/>
          <w:b/>
          <w:bCs/>
          <w:smallCaps/>
          <w:szCs w:val="24"/>
        </w:rPr>
        <w:t>Supporting Information Listing</w:t>
      </w:r>
    </w:p>
    <w:p w:rsidR="00A80CF0" w:rsidRDefault="00A80CF0" w:rsidP="00A80CF0">
      <w:pPr>
        <w:rPr>
          <w:rFonts w:cs="Times New Roman"/>
          <w:b/>
          <w:bCs/>
          <w:szCs w:val="24"/>
        </w:rPr>
      </w:pPr>
      <w:r w:rsidRPr="001214D6">
        <w:rPr>
          <w:rFonts w:cs="Times New Roman"/>
          <w:b/>
          <w:bCs/>
          <w:szCs w:val="24"/>
        </w:rPr>
        <w:t xml:space="preserve">Supplementary Figure </w:t>
      </w:r>
      <w:r>
        <w:rPr>
          <w:rFonts w:cs="Times New Roman"/>
          <w:b/>
          <w:bCs/>
          <w:szCs w:val="24"/>
        </w:rPr>
        <w:t>1</w:t>
      </w:r>
      <w:r w:rsidRPr="001214D6">
        <w:rPr>
          <w:rFonts w:cs="Times New Roman"/>
          <w:b/>
          <w:bCs/>
          <w:szCs w:val="24"/>
        </w:rPr>
        <w:t xml:space="preserve">. </w:t>
      </w:r>
      <w:r>
        <w:rPr>
          <w:rFonts w:cs="Times New Roman"/>
          <w:b/>
          <w:bCs/>
          <w:szCs w:val="24"/>
        </w:rPr>
        <w:t>Insertion (A) and deletion (B) frequencies of</w:t>
      </w:r>
      <w:r w:rsidRPr="001214D6">
        <w:rPr>
          <w:rFonts w:cs="Times New Roman"/>
          <w:b/>
          <w:bCs/>
          <w:szCs w:val="24"/>
        </w:rPr>
        <w:t xml:space="preserve"> early passage and deep</w:t>
      </w:r>
      <w:r>
        <w:rPr>
          <w:rFonts w:cs="Times New Roman"/>
          <w:b/>
          <w:bCs/>
          <w:szCs w:val="24"/>
        </w:rPr>
        <w:t>ly</w:t>
      </w:r>
      <w:r w:rsidRPr="001214D6">
        <w:rPr>
          <w:rFonts w:cs="Times New Roman"/>
          <w:b/>
          <w:bCs/>
          <w:szCs w:val="24"/>
        </w:rPr>
        <w:t xml:space="preserve"> senescent cells</w:t>
      </w:r>
      <w:r w:rsidRPr="006E27A6">
        <w:rPr>
          <w:rFonts w:cs="Times New Roman"/>
          <w:b/>
          <w:bCs/>
          <w:szCs w:val="24"/>
        </w:rPr>
        <w:t>.</w:t>
      </w:r>
    </w:p>
    <w:p w:rsidR="00A80CF0" w:rsidRPr="00766BC9" w:rsidRDefault="00A80CF0" w:rsidP="00A80CF0">
      <w:pPr>
        <w:rPr>
          <w:rFonts w:cs="Times New Roman"/>
          <w:szCs w:val="24"/>
        </w:rPr>
      </w:pPr>
      <w:r w:rsidRPr="001214D6">
        <w:rPr>
          <w:rFonts w:cs="Times New Roman"/>
          <w:i/>
          <w:iCs/>
          <w:szCs w:val="24"/>
        </w:rPr>
        <w:t>P</w:t>
      </w:r>
      <w:r w:rsidRPr="001214D6">
        <w:rPr>
          <w:rFonts w:cs="Times New Roman"/>
          <w:szCs w:val="24"/>
        </w:rPr>
        <w:t xml:space="preserve"> values were estimated using the Wilcox Rank Sum test, two-tailed</w:t>
      </w:r>
      <w:r>
        <w:rPr>
          <w:rFonts w:cs="Times New Roman"/>
          <w:szCs w:val="24"/>
        </w:rPr>
        <w:t>. B</w:t>
      </w:r>
      <w:r w:rsidRPr="001214D6">
        <w:rPr>
          <w:rFonts w:cs="Times New Roman"/>
          <w:szCs w:val="24"/>
        </w:rPr>
        <w:t>ox</w:t>
      </w:r>
      <w:r>
        <w:rPr>
          <w:rFonts w:cs="Times New Roman"/>
          <w:szCs w:val="24"/>
        </w:rPr>
        <w:t xml:space="preserve"> </w:t>
      </w:r>
      <w:r w:rsidRPr="001214D6">
        <w:rPr>
          <w:rFonts w:cs="Times New Roman"/>
          <w:szCs w:val="24"/>
        </w:rPr>
        <w:t>plot elements are: center line</w:t>
      </w:r>
      <w:r>
        <w:rPr>
          <w:rFonts w:cs="Times New Roman"/>
          <w:szCs w:val="24"/>
        </w:rPr>
        <w:t xml:space="preserve">, </w:t>
      </w:r>
      <w:r w:rsidRPr="001214D6">
        <w:rPr>
          <w:rFonts w:cs="Times New Roman"/>
          <w:szCs w:val="24"/>
        </w:rPr>
        <w:t>median</w:t>
      </w:r>
      <w:r>
        <w:rPr>
          <w:rFonts w:cs="Times New Roman"/>
          <w:szCs w:val="24"/>
        </w:rPr>
        <w:t>;</w:t>
      </w:r>
      <w:r w:rsidRPr="001214D6">
        <w:rPr>
          <w:rFonts w:cs="Times New Roman"/>
          <w:szCs w:val="24"/>
        </w:rPr>
        <w:t xml:space="preserve"> box limits</w:t>
      </w:r>
      <w:r>
        <w:rPr>
          <w:rFonts w:cs="Times New Roman"/>
          <w:szCs w:val="24"/>
        </w:rPr>
        <w:t xml:space="preserve">, </w:t>
      </w:r>
      <w:r w:rsidRPr="001214D6">
        <w:rPr>
          <w:rFonts w:cs="Times New Roman"/>
          <w:szCs w:val="24"/>
        </w:rPr>
        <w:t>upper and lower quartiles</w:t>
      </w:r>
      <w:r>
        <w:rPr>
          <w:rFonts w:cs="Times New Roman"/>
          <w:szCs w:val="24"/>
        </w:rPr>
        <w:t>;</w:t>
      </w:r>
      <w:r w:rsidRPr="001214D6">
        <w:rPr>
          <w:rFonts w:cs="Times New Roman"/>
          <w:szCs w:val="24"/>
        </w:rPr>
        <w:t xml:space="preserve"> whiskers</w:t>
      </w:r>
      <w:r>
        <w:rPr>
          <w:rFonts w:cs="Times New Roman"/>
          <w:szCs w:val="24"/>
        </w:rPr>
        <w:t xml:space="preserve">, </w:t>
      </w:r>
      <w:r w:rsidRPr="001214D6">
        <w:rPr>
          <w:rFonts w:cs="Times New Roman"/>
          <w:szCs w:val="24"/>
        </w:rPr>
        <w:t>1.5× interquartile range</w:t>
      </w:r>
      <w:r>
        <w:rPr>
          <w:rFonts w:cs="Times New Roman"/>
          <w:szCs w:val="24"/>
        </w:rPr>
        <w:t xml:space="preserve">; </w:t>
      </w:r>
      <w:r w:rsidRPr="001214D6">
        <w:rPr>
          <w:rFonts w:cs="Times New Roman"/>
          <w:szCs w:val="24"/>
        </w:rPr>
        <w:t>points</w:t>
      </w:r>
      <w:r>
        <w:rPr>
          <w:rFonts w:cs="Times New Roman"/>
          <w:szCs w:val="24"/>
        </w:rPr>
        <w:t>,</w:t>
      </w:r>
      <w:r w:rsidRPr="001214D6">
        <w:rPr>
          <w:rFonts w:cs="Times New Roman"/>
          <w:szCs w:val="24"/>
        </w:rPr>
        <w:t xml:space="preserve"> all data points.</w:t>
      </w:r>
    </w:p>
    <w:p w:rsidR="00A80CF0" w:rsidRDefault="00A80CF0" w:rsidP="00A80CF0">
      <w:pPr>
        <w:rPr>
          <w:rFonts w:cs="Times New Roman"/>
          <w:b/>
          <w:bCs/>
          <w:szCs w:val="24"/>
        </w:rPr>
      </w:pPr>
    </w:p>
    <w:p w:rsidR="00A80CF0" w:rsidRPr="006E27A6" w:rsidRDefault="00A80CF0" w:rsidP="00A80CF0">
      <w:pPr>
        <w:rPr>
          <w:rFonts w:cs="Times New Roman"/>
          <w:szCs w:val="24"/>
        </w:rPr>
      </w:pPr>
      <w:r w:rsidRPr="001214D6">
        <w:rPr>
          <w:rFonts w:cs="Times New Roman"/>
          <w:b/>
          <w:bCs/>
          <w:szCs w:val="24"/>
        </w:rPr>
        <w:t xml:space="preserve">Supplementary Figure </w:t>
      </w:r>
      <w:r>
        <w:rPr>
          <w:rFonts w:cs="Times New Roman"/>
          <w:b/>
          <w:bCs/>
          <w:szCs w:val="24"/>
        </w:rPr>
        <w:t>2</w:t>
      </w:r>
      <w:r w:rsidRPr="001214D6">
        <w:rPr>
          <w:rFonts w:cs="Times New Roman"/>
          <w:b/>
          <w:bCs/>
          <w:szCs w:val="24"/>
        </w:rPr>
        <w:t xml:space="preserve">. </w:t>
      </w:r>
      <w:r w:rsidRPr="006E27A6">
        <w:rPr>
          <w:rFonts w:cs="Times New Roman"/>
          <w:b/>
          <w:bCs/>
          <w:szCs w:val="24"/>
        </w:rPr>
        <w:t xml:space="preserve">Rainfall plot illustrating distances of neighboring mutations. </w:t>
      </w:r>
      <w:r>
        <w:rPr>
          <w:rFonts w:cs="Times New Roman"/>
          <w:szCs w:val="24"/>
        </w:rPr>
        <w:t xml:space="preserve">Mutations of single cells from each group were pooled in this analysis. </w:t>
      </w:r>
      <w:r w:rsidRPr="006E27A6">
        <w:rPr>
          <w:rFonts w:cs="Times New Roman"/>
          <w:szCs w:val="24"/>
        </w:rPr>
        <w:t xml:space="preserve">(Top) Density of mutations in </w:t>
      </w:r>
      <w:proofErr w:type="spellStart"/>
      <w:r w:rsidRPr="006E27A6">
        <w:rPr>
          <w:rFonts w:cs="Times New Roman"/>
          <w:szCs w:val="24"/>
        </w:rPr>
        <w:t>kilobase</w:t>
      </w:r>
      <w:proofErr w:type="spellEnd"/>
      <w:r w:rsidRPr="006E27A6">
        <w:rPr>
          <w:rFonts w:cs="Times New Roman"/>
          <w:szCs w:val="24"/>
        </w:rPr>
        <w:t xml:space="preserve"> bins. Distances of each mutation to its closest other mutation.</w:t>
      </w:r>
    </w:p>
    <w:p w:rsidR="00A80CF0" w:rsidRDefault="00A80CF0" w:rsidP="00A80CF0">
      <w:pPr>
        <w:rPr>
          <w:rFonts w:cs="Times New Roman"/>
          <w:b/>
          <w:bCs/>
          <w:szCs w:val="24"/>
        </w:rPr>
      </w:pPr>
    </w:p>
    <w:p w:rsidR="00A80CF0" w:rsidRPr="001214D6" w:rsidRDefault="00A80CF0" w:rsidP="00A80CF0">
      <w:pPr>
        <w:rPr>
          <w:rFonts w:cs="Times New Roman"/>
          <w:b/>
          <w:bCs/>
          <w:szCs w:val="24"/>
        </w:rPr>
      </w:pPr>
      <w:r w:rsidRPr="001214D6">
        <w:rPr>
          <w:rFonts w:cs="Times New Roman"/>
          <w:b/>
          <w:bCs/>
          <w:szCs w:val="24"/>
        </w:rPr>
        <w:t xml:space="preserve">Supplementary Figure </w:t>
      </w:r>
      <w:r>
        <w:rPr>
          <w:rFonts w:cs="Times New Roman"/>
          <w:b/>
          <w:bCs/>
          <w:szCs w:val="24"/>
        </w:rPr>
        <w:t>3</w:t>
      </w:r>
      <w:r w:rsidRPr="001214D6">
        <w:rPr>
          <w:rFonts w:cs="Times New Roman"/>
          <w:b/>
          <w:bCs/>
          <w:szCs w:val="24"/>
        </w:rPr>
        <w:t>. Aneuploidy and large copy number variation in early passage single cells.</w:t>
      </w:r>
    </w:p>
    <w:p w:rsidR="00A80CF0" w:rsidRPr="001214D6" w:rsidRDefault="00A80CF0" w:rsidP="00A80CF0">
      <w:pPr>
        <w:rPr>
          <w:rFonts w:cs="Times New Roman"/>
          <w:szCs w:val="24"/>
        </w:rPr>
      </w:pPr>
      <w:r>
        <w:rPr>
          <w:rFonts w:cs="Times New Roman"/>
          <w:szCs w:val="24"/>
        </w:rPr>
        <w:t xml:space="preserve">Each panel indicates one single cell. Curved lines indicate normalized sequencing depth, and horizontal straight lines indicate estimated copy numbers. Of note, some parts of the genome do not have an estimated copy number. This is due to high fluctuation of sequencing depth in these regions, and the SCCNV pipeline did not report their copy numbers due to lack of statistical confidence. This is a typical problem of single-cell whole-genome amplification, and affects mainly copy number estimation. </w:t>
      </w:r>
      <w:r w:rsidRPr="001214D6">
        <w:rPr>
          <w:rFonts w:cs="Times New Roman"/>
          <w:szCs w:val="24"/>
        </w:rPr>
        <w:t>The arrow indicates a large copy deletion in chromosome 2 of a single cell.</w:t>
      </w:r>
    </w:p>
    <w:p w:rsidR="00A80CF0" w:rsidRPr="001214D6" w:rsidRDefault="00A80CF0" w:rsidP="00A80CF0">
      <w:pPr>
        <w:rPr>
          <w:rFonts w:cs="Times New Roman"/>
          <w:szCs w:val="24"/>
        </w:rPr>
      </w:pPr>
    </w:p>
    <w:p w:rsidR="00A80CF0" w:rsidRPr="001214D6" w:rsidRDefault="00A80CF0" w:rsidP="00A80CF0">
      <w:pPr>
        <w:rPr>
          <w:rFonts w:cs="Times New Roman"/>
          <w:b/>
          <w:bCs/>
          <w:szCs w:val="24"/>
        </w:rPr>
      </w:pPr>
      <w:r w:rsidRPr="001214D6">
        <w:rPr>
          <w:rFonts w:cs="Times New Roman"/>
          <w:b/>
          <w:bCs/>
          <w:szCs w:val="24"/>
        </w:rPr>
        <w:t xml:space="preserve">Supplementary Figure </w:t>
      </w:r>
      <w:r>
        <w:rPr>
          <w:rFonts w:cs="Times New Roman"/>
          <w:b/>
          <w:bCs/>
          <w:szCs w:val="24"/>
        </w:rPr>
        <w:t>4</w:t>
      </w:r>
      <w:r w:rsidRPr="001214D6">
        <w:rPr>
          <w:rFonts w:cs="Times New Roman"/>
          <w:b/>
          <w:bCs/>
          <w:szCs w:val="24"/>
        </w:rPr>
        <w:t>. Aneuploidy and large copy number variation in deep senescent single cells.</w:t>
      </w:r>
    </w:p>
    <w:p w:rsidR="00A80CF0" w:rsidRPr="001214D6" w:rsidRDefault="00A80CF0" w:rsidP="00A80CF0">
      <w:pPr>
        <w:rPr>
          <w:rFonts w:cs="Times New Roman"/>
          <w:szCs w:val="24"/>
        </w:rPr>
      </w:pPr>
      <w:r w:rsidRPr="001214D6">
        <w:rPr>
          <w:rFonts w:cs="Times New Roman"/>
          <w:szCs w:val="24"/>
        </w:rPr>
        <w:t xml:space="preserve">The four </w:t>
      </w:r>
      <w:r>
        <w:rPr>
          <w:rFonts w:cs="Times New Roman"/>
          <w:szCs w:val="24"/>
        </w:rPr>
        <w:t xml:space="preserve">black </w:t>
      </w:r>
      <w:r w:rsidRPr="001214D6">
        <w:rPr>
          <w:rFonts w:cs="Times New Roman"/>
          <w:szCs w:val="24"/>
        </w:rPr>
        <w:t>arrows indicate four aneuploidies observed in the single cells. In addition to the four events, cell “IMR90_P38_02_10” has potentially a copy-number-loss on chromosome 22</w:t>
      </w:r>
      <w:r>
        <w:rPr>
          <w:rFonts w:cs="Times New Roman"/>
          <w:szCs w:val="24"/>
        </w:rPr>
        <w:t xml:space="preserve"> (blue arrow)</w:t>
      </w:r>
      <w:r w:rsidRPr="001214D6">
        <w:rPr>
          <w:rFonts w:cs="Times New Roman"/>
          <w:szCs w:val="24"/>
        </w:rPr>
        <w:t>, although it is not called by SCCNV due to the high fluctuation</w:t>
      </w:r>
      <w:r>
        <w:rPr>
          <w:rFonts w:cs="Times New Roman"/>
          <w:szCs w:val="24"/>
        </w:rPr>
        <w:t xml:space="preserve"> in sequencing depth in this single cell. The fluctuation of sequencing depth is a result of whole-genome amplification, which affects mainly copy number estimation</w:t>
      </w:r>
      <w:r w:rsidRPr="001214D6">
        <w:rPr>
          <w:rFonts w:cs="Times New Roman"/>
          <w:szCs w:val="24"/>
        </w:rPr>
        <w:t xml:space="preserve">. </w:t>
      </w:r>
    </w:p>
    <w:p w:rsidR="002F609F" w:rsidRDefault="002F609F"/>
    <w:sectPr w:rsidR="002F609F" w:rsidSect="001214D6">
      <w:footerReference w:type="default" r:id="rI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4AD" w:rsidRPr="00175238" w:rsidRDefault="00A80CF0" w:rsidP="00175238">
    <w:pPr>
      <w:pStyle w:val="Footer"/>
      <w:jc w:val="right"/>
      <w:rPr>
        <w:color w:val="000000" w:themeColor="text1"/>
        <w:sz w:val="20"/>
        <w:szCs w:val="20"/>
      </w:rPr>
    </w:pPr>
    <w:r w:rsidRPr="00175238">
      <w:rPr>
        <w:color w:val="000000" w:themeColor="text1"/>
        <w:sz w:val="20"/>
        <w:szCs w:val="20"/>
      </w:rPr>
      <w:t xml:space="preserve">Page </w:t>
    </w:r>
    <w:r w:rsidRPr="00175238">
      <w:rPr>
        <w:color w:val="000000" w:themeColor="text1"/>
        <w:sz w:val="20"/>
        <w:szCs w:val="20"/>
      </w:rPr>
      <w:fldChar w:fldCharType="begin"/>
    </w:r>
    <w:r w:rsidRPr="00175238">
      <w:rPr>
        <w:color w:val="000000" w:themeColor="text1"/>
        <w:sz w:val="20"/>
        <w:szCs w:val="20"/>
      </w:rPr>
      <w:instrText xml:space="preserve"> PAGE  \* Arabic  \* MERGEFORMAT </w:instrText>
    </w:r>
    <w:r w:rsidRPr="00175238">
      <w:rPr>
        <w:color w:val="000000" w:themeColor="text1"/>
        <w:sz w:val="20"/>
        <w:szCs w:val="20"/>
      </w:rPr>
      <w:fldChar w:fldCharType="separate"/>
    </w:r>
    <w:r>
      <w:rPr>
        <w:noProof/>
        <w:color w:val="000000" w:themeColor="text1"/>
        <w:sz w:val="20"/>
        <w:szCs w:val="20"/>
      </w:rPr>
      <w:t>1</w:t>
    </w:r>
    <w:r w:rsidRPr="00175238">
      <w:rPr>
        <w:color w:val="000000" w:themeColor="text1"/>
        <w:sz w:val="20"/>
        <w:szCs w:val="20"/>
      </w:rPr>
      <w:fldChar w:fldCharType="end"/>
    </w:r>
    <w:r w:rsidRPr="00175238">
      <w:rPr>
        <w:color w:val="000000" w:themeColor="text1"/>
        <w:sz w:val="20"/>
        <w:szCs w:val="20"/>
      </w:rPr>
      <w:t xml:space="preserve"> of </w:t>
    </w:r>
    <w:r w:rsidRPr="00175238">
      <w:rPr>
        <w:color w:val="000000" w:themeColor="text1"/>
        <w:sz w:val="20"/>
        <w:szCs w:val="20"/>
      </w:rPr>
      <w:fldChar w:fldCharType="begin"/>
    </w:r>
    <w:r w:rsidRPr="00175238">
      <w:rPr>
        <w:color w:val="000000" w:themeColor="text1"/>
        <w:sz w:val="20"/>
        <w:szCs w:val="20"/>
      </w:rPr>
      <w:instrText xml:space="preserve"> NUMPAGES  \* Arabic  \* MERGEFORMAT </w:instrText>
    </w:r>
    <w:r w:rsidRPr="00175238">
      <w:rPr>
        <w:color w:val="000000" w:themeColor="text1"/>
        <w:sz w:val="20"/>
        <w:szCs w:val="20"/>
      </w:rPr>
      <w:fldChar w:fldCharType="separate"/>
    </w:r>
    <w:r>
      <w:rPr>
        <w:noProof/>
        <w:color w:val="000000" w:themeColor="text1"/>
        <w:sz w:val="20"/>
        <w:szCs w:val="20"/>
      </w:rPr>
      <w:t>1</w:t>
    </w:r>
    <w:r w:rsidRPr="00175238">
      <w:rPr>
        <w:color w:val="000000" w:themeColor="text1"/>
        <w:sz w:val="20"/>
        <w:szCs w:val="20"/>
      </w:rPr>
      <w:fldChar w:fldCharType="end"/>
    </w:r>
  </w:p>
  <w:p w:rsidR="00E354AD" w:rsidRDefault="00A80CF0">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CF0"/>
    <w:rsid w:val="002F609F"/>
    <w:rsid w:val="005F00B8"/>
    <w:rsid w:val="00A80CF0"/>
    <w:rsid w:val="00A87C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9273D2-693A-4141-BEDD-C2F53ABA6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80CF0"/>
    <w:pPr>
      <w:tabs>
        <w:tab w:val="center" w:pos="4680"/>
        <w:tab w:val="right" w:pos="9360"/>
      </w:tabs>
      <w:spacing w:after="0" w:line="240" w:lineRule="auto"/>
      <w:jc w:val="both"/>
    </w:pPr>
    <w:rPr>
      <w:rFonts w:ascii="Times New Roman" w:eastAsiaTheme="minorEastAsia" w:hAnsi="Times New Roman"/>
      <w:sz w:val="24"/>
      <w:lang w:eastAsia="zh-CN"/>
    </w:rPr>
  </w:style>
  <w:style w:type="character" w:customStyle="1" w:styleId="FooterChar">
    <w:name w:val="Footer Char"/>
    <w:basedOn w:val="DefaultParagraphFont"/>
    <w:link w:val="Footer"/>
    <w:uiPriority w:val="99"/>
    <w:rsid w:val="00A80CF0"/>
    <w:rPr>
      <w:rFonts w:ascii="Times New Roman" w:eastAsiaTheme="minorEastAsia" w:hAnsi="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2DED9A28.dotm</Template>
  <TotalTime>0</TotalTime>
  <Pages>1</Pages>
  <Words>272</Words>
  <Characters>1554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Manimaran Subramani</dc:creator>
  <cp:keywords/>
  <dc:description/>
  <cp:lastModifiedBy>Manimaran Subramani</cp:lastModifiedBy>
  <cp:revision>1</cp:revision>
  <dcterms:created xsi:type="dcterms:W3CDTF">2023-06-19T15:26:00Z</dcterms:created>
  <dcterms:modified xsi:type="dcterms:W3CDTF">2023-06-19T15:26:00Z</dcterms:modified>
</cp:coreProperties>
</file>